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B8" w:rsidRPr="006721B8" w:rsidRDefault="006721B8" w:rsidP="006721B8">
      <w:pPr>
        <w:spacing w:before="40" w:after="40"/>
        <w:rPr>
          <w:rFonts w:ascii="Times New Roman" w:hAnsi="Times New Roman"/>
          <w:b/>
          <w:bCs/>
        </w:rPr>
      </w:pPr>
      <w:bookmarkStart w:id="0" w:name="_GoBack"/>
      <w:bookmarkEnd w:id="0"/>
      <w:r w:rsidRPr="006721B8">
        <w:rPr>
          <w:rFonts w:ascii="Times New Roman" w:hAnsi="Times New Roman"/>
          <w:b/>
          <w:bCs/>
        </w:rPr>
        <w:t>Saturs:</w:t>
      </w:r>
    </w:p>
    <w:p w:rsidR="006721B8" w:rsidRPr="006721B8" w:rsidRDefault="006721B8" w:rsidP="006721B8">
      <w:pPr>
        <w:spacing w:before="40" w:after="40"/>
        <w:rPr>
          <w:rFonts w:ascii="Times New Roman" w:hAnsi="Times New Roman"/>
          <w:b/>
          <w:bCs/>
        </w:rPr>
      </w:pPr>
    </w:p>
    <w:p w:rsidR="006721B8" w:rsidRPr="006721B8" w:rsidRDefault="006721B8" w:rsidP="006721B8">
      <w:pPr>
        <w:pStyle w:val="TOC1"/>
        <w:rPr>
          <w:rFonts w:ascii="Times New Roman" w:hAnsi="Times New Roman" w:cs="Times New Roman"/>
          <w:b w:val="0"/>
          <w:bCs w:val="0"/>
          <w:lang w:eastAsia="lv-LV"/>
        </w:rPr>
      </w:pPr>
      <w:r w:rsidRPr="006721B8">
        <w:rPr>
          <w:rFonts w:ascii="Times New Roman" w:hAnsi="Times New Roman" w:cs="Times New Roman"/>
        </w:rPr>
        <w:fldChar w:fldCharType="begin"/>
      </w:r>
      <w:r w:rsidRPr="006721B8">
        <w:rPr>
          <w:rFonts w:ascii="Times New Roman" w:hAnsi="Times New Roman" w:cs="Times New Roman"/>
        </w:rPr>
        <w:instrText xml:space="preserve"> TOC \o "1-3" \h \z \u </w:instrText>
      </w:r>
      <w:r w:rsidRPr="006721B8">
        <w:rPr>
          <w:rFonts w:ascii="Times New Roman" w:hAnsi="Times New Roman" w:cs="Times New Roman"/>
        </w:rPr>
        <w:fldChar w:fldCharType="separate"/>
      </w:r>
      <w:hyperlink w:anchor="_Toc430608285" w:history="1">
        <w:r w:rsidRPr="006721B8">
          <w:rPr>
            <w:rStyle w:val="Hyperlink"/>
            <w:rFonts w:ascii="Times New Roman" w:hAnsi="Times New Roman" w:cs="Times New Roman"/>
          </w:rPr>
          <w:t>1.</w:t>
        </w:r>
        <w:r w:rsidRPr="006721B8">
          <w:rPr>
            <w:rFonts w:ascii="Times New Roman" w:hAnsi="Times New Roman" w:cs="Times New Roman"/>
            <w:b w:val="0"/>
            <w:bCs w:val="0"/>
            <w:lang w:eastAsia="lv-LV"/>
          </w:rPr>
          <w:tab/>
        </w:r>
        <w:r w:rsidRPr="006721B8">
          <w:rPr>
            <w:rStyle w:val="Hyperlink"/>
            <w:rFonts w:ascii="Times New Roman" w:hAnsi="Times New Roman" w:cs="Times New Roman"/>
          </w:rPr>
          <w:t>Vispārīgie jautājumi – dokumenta mērķis, darbības sfēra</w:t>
        </w:r>
        <w:r w:rsidRPr="006721B8">
          <w:rPr>
            <w:rFonts w:ascii="Times New Roman" w:hAnsi="Times New Roman" w:cs="Times New Roman"/>
            <w:webHidden/>
          </w:rPr>
          <w:tab/>
        </w:r>
        <w:r w:rsidRPr="006721B8">
          <w:rPr>
            <w:rFonts w:ascii="Times New Roman" w:hAnsi="Times New Roman" w:cs="Times New Roman"/>
            <w:webHidden/>
          </w:rPr>
          <w:fldChar w:fldCharType="begin"/>
        </w:r>
        <w:r w:rsidRPr="006721B8">
          <w:rPr>
            <w:rFonts w:ascii="Times New Roman" w:hAnsi="Times New Roman" w:cs="Times New Roman"/>
            <w:webHidden/>
          </w:rPr>
          <w:instrText xml:space="preserve"> PAGEREF _Toc430608285 \h </w:instrText>
        </w:r>
        <w:r w:rsidRPr="006721B8">
          <w:rPr>
            <w:rFonts w:ascii="Times New Roman" w:hAnsi="Times New Roman" w:cs="Times New Roman"/>
            <w:webHidden/>
          </w:rPr>
        </w:r>
        <w:r w:rsidRPr="006721B8">
          <w:rPr>
            <w:rFonts w:ascii="Times New Roman" w:hAnsi="Times New Roman" w:cs="Times New Roman"/>
            <w:webHidden/>
          </w:rPr>
          <w:fldChar w:fldCharType="separate"/>
        </w:r>
        <w:r w:rsidRPr="006721B8">
          <w:rPr>
            <w:rFonts w:ascii="Times New Roman" w:hAnsi="Times New Roman" w:cs="Times New Roman"/>
            <w:webHidden/>
          </w:rPr>
          <w:t>1</w:t>
        </w:r>
        <w:r w:rsidRPr="006721B8">
          <w:rPr>
            <w:rFonts w:ascii="Times New Roman" w:hAnsi="Times New Roman" w:cs="Times New Roman"/>
            <w:webHidden/>
          </w:rPr>
          <w:fldChar w:fldCharType="end"/>
        </w:r>
      </w:hyperlink>
    </w:p>
    <w:p w:rsidR="006721B8" w:rsidRPr="006721B8" w:rsidRDefault="00FF0F48" w:rsidP="006721B8">
      <w:pPr>
        <w:pStyle w:val="TOC1"/>
        <w:rPr>
          <w:rFonts w:ascii="Times New Roman" w:hAnsi="Times New Roman" w:cs="Times New Roman"/>
          <w:b w:val="0"/>
          <w:bCs w:val="0"/>
          <w:lang w:eastAsia="lv-LV"/>
        </w:rPr>
      </w:pPr>
      <w:hyperlink w:anchor="_Toc430608286" w:history="1">
        <w:r w:rsidR="006721B8" w:rsidRPr="006721B8">
          <w:rPr>
            <w:rStyle w:val="Hyperlink"/>
            <w:rFonts w:ascii="Times New Roman" w:hAnsi="Times New Roman" w:cs="Times New Roman"/>
          </w:rPr>
          <w:t>2.</w:t>
        </w:r>
        <w:r w:rsidR="006721B8" w:rsidRPr="006721B8">
          <w:rPr>
            <w:rFonts w:ascii="Times New Roman" w:hAnsi="Times New Roman" w:cs="Times New Roman"/>
            <w:b w:val="0"/>
            <w:bCs w:val="0"/>
            <w:lang w:eastAsia="lv-LV"/>
          </w:rPr>
          <w:tab/>
        </w:r>
        <w:r w:rsidR="006721B8" w:rsidRPr="006721B8">
          <w:rPr>
            <w:rStyle w:val="Hyperlink"/>
            <w:rFonts w:ascii="Times New Roman" w:hAnsi="Times New Roman" w:cs="Times New Roman"/>
          </w:rPr>
          <w:t>Terminoloģija un saīsinājumi</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_Toc430608286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2</w:t>
        </w:r>
        <w:r w:rsidR="006721B8" w:rsidRPr="006721B8">
          <w:rPr>
            <w:rFonts w:ascii="Times New Roman" w:hAnsi="Times New Roman" w:cs="Times New Roman"/>
            <w:webHidden/>
          </w:rPr>
          <w:fldChar w:fldCharType="end"/>
        </w:r>
      </w:hyperlink>
    </w:p>
    <w:p w:rsidR="006721B8" w:rsidRPr="006721B8" w:rsidRDefault="00FF0F48" w:rsidP="006721B8">
      <w:pPr>
        <w:pStyle w:val="TOC2"/>
        <w:rPr>
          <w:rFonts w:ascii="Times New Roman" w:hAnsi="Times New Roman" w:cs="Times New Roman"/>
          <w:lang w:eastAsia="lv-LV"/>
        </w:rPr>
      </w:pPr>
      <w:hyperlink w:anchor="_Toc430608287" w:history="1">
        <w:r w:rsidR="006721B8" w:rsidRPr="006721B8">
          <w:rPr>
            <w:rStyle w:val="Hyperlink"/>
            <w:rFonts w:ascii="Times New Roman" w:hAnsi="Times New Roman" w:cs="Times New Roman"/>
          </w:rPr>
          <w:t>2.1. Terminoloģija</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_Toc430608287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2</w:t>
        </w:r>
        <w:r w:rsidR="006721B8" w:rsidRPr="006721B8">
          <w:rPr>
            <w:rFonts w:ascii="Times New Roman" w:hAnsi="Times New Roman" w:cs="Times New Roman"/>
            <w:webHidden/>
          </w:rPr>
          <w:fldChar w:fldCharType="end"/>
        </w:r>
      </w:hyperlink>
    </w:p>
    <w:p w:rsidR="006721B8" w:rsidRPr="006721B8" w:rsidRDefault="00FF0F48" w:rsidP="006721B8">
      <w:pPr>
        <w:pStyle w:val="TOC2"/>
        <w:rPr>
          <w:rFonts w:ascii="Times New Roman" w:hAnsi="Times New Roman" w:cs="Times New Roman"/>
          <w:lang w:eastAsia="lv-LV"/>
        </w:rPr>
      </w:pPr>
      <w:hyperlink w:anchor="_Toc430608288" w:history="1">
        <w:r w:rsidR="006721B8" w:rsidRPr="006721B8">
          <w:rPr>
            <w:rStyle w:val="Hyperlink"/>
            <w:rFonts w:ascii="Times New Roman" w:hAnsi="Times New Roman" w:cs="Times New Roman"/>
          </w:rPr>
          <w:t>2.2.Saīsinājumi shēmās</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_Toc430608288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2</w:t>
        </w:r>
        <w:r w:rsidR="006721B8" w:rsidRPr="006721B8">
          <w:rPr>
            <w:rFonts w:ascii="Times New Roman" w:hAnsi="Times New Roman" w:cs="Times New Roman"/>
            <w:webHidden/>
          </w:rPr>
          <w:fldChar w:fldCharType="end"/>
        </w:r>
      </w:hyperlink>
    </w:p>
    <w:p w:rsidR="006721B8" w:rsidRPr="006721B8" w:rsidRDefault="00FF0F48" w:rsidP="006721B8">
      <w:pPr>
        <w:pStyle w:val="TOC1"/>
        <w:rPr>
          <w:rFonts w:ascii="Times New Roman" w:hAnsi="Times New Roman" w:cs="Times New Roman"/>
          <w:b w:val="0"/>
          <w:bCs w:val="0"/>
          <w:lang w:eastAsia="lv-LV"/>
        </w:rPr>
      </w:pPr>
      <w:hyperlink w:anchor="_Toc430608289" w:history="1">
        <w:r w:rsidR="006721B8" w:rsidRPr="006721B8">
          <w:rPr>
            <w:rStyle w:val="Hyperlink"/>
            <w:rFonts w:ascii="Times New Roman" w:hAnsi="Times New Roman" w:cs="Times New Roman"/>
          </w:rPr>
          <w:t>3.</w:t>
        </w:r>
        <w:r w:rsidR="006721B8" w:rsidRPr="006721B8">
          <w:rPr>
            <w:rFonts w:ascii="Times New Roman" w:hAnsi="Times New Roman" w:cs="Times New Roman"/>
            <w:b w:val="0"/>
            <w:bCs w:val="0"/>
            <w:lang w:eastAsia="lv-LV"/>
          </w:rPr>
          <w:tab/>
        </w:r>
        <w:r w:rsidR="006721B8" w:rsidRPr="006721B8">
          <w:rPr>
            <w:rStyle w:val="Hyperlink"/>
            <w:rFonts w:ascii="Times New Roman" w:hAnsi="Times New Roman" w:cs="Times New Roman"/>
          </w:rPr>
          <w:t>Būvprojektu veidi (kategorijas)</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_Toc430608289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3</w:t>
        </w:r>
        <w:r w:rsidR="006721B8" w:rsidRPr="006721B8">
          <w:rPr>
            <w:rFonts w:ascii="Times New Roman" w:hAnsi="Times New Roman" w:cs="Times New Roman"/>
            <w:webHidden/>
          </w:rPr>
          <w:fldChar w:fldCharType="end"/>
        </w:r>
      </w:hyperlink>
    </w:p>
    <w:p w:rsidR="006721B8" w:rsidRPr="006721B8" w:rsidRDefault="00FF0F48" w:rsidP="006721B8">
      <w:pPr>
        <w:pStyle w:val="TOC1"/>
        <w:rPr>
          <w:rFonts w:ascii="Times New Roman" w:hAnsi="Times New Roman" w:cs="Times New Roman"/>
          <w:b w:val="0"/>
          <w:bCs w:val="0"/>
          <w:lang w:eastAsia="lv-LV"/>
        </w:rPr>
      </w:pPr>
      <w:hyperlink w:anchor="_Toc430608290" w:history="1">
        <w:r w:rsidR="006721B8" w:rsidRPr="006721B8">
          <w:rPr>
            <w:rStyle w:val="Hyperlink"/>
            <w:rFonts w:ascii="Times New Roman" w:hAnsi="Times New Roman" w:cs="Times New Roman"/>
          </w:rPr>
          <w:t>4.</w:t>
        </w:r>
        <w:r w:rsidR="006721B8" w:rsidRPr="006721B8">
          <w:rPr>
            <w:rFonts w:ascii="Times New Roman" w:hAnsi="Times New Roman" w:cs="Times New Roman"/>
            <w:b w:val="0"/>
            <w:bCs w:val="0"/>
            <w:lang w:eastAsia="lv-LV"/>
          </w:rPr>
          <w:tab/>
        </w:r>
        <w:r w:rsidR="006721B8" w:rsidRPr="006721B8">
          <w:rPr>
            <w:rStyle w:val="Hyperlink"/>
            <w:rFonts w:ascii="Times New Roman" w:hAnsi="Times New Roman" w:cs="Times New Roman"/>
          </w:rPr>
          <w:t>Būvprojektu saskaņošana</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_Toc430608290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4</w:t>
        </w:r>
        <w:r w:rsidR="006721B8" w:rsidRPr="006721B8">
          <w:rPr>
            <w:rFonts w:ascii="Times New Roman" w:hAnsi="Times New Roman" w:cs="Times New Roman"/>
            <w:webHidden/>
          </w:rPr>
          <w:fldChar w:fldCharType="end"/>
        </w:r>
      </w:hyperlink>
    </w:p>
    <w:p w:rsidR="006721B8" w:rsidRPr="006721B8" w:rsidRDefault="00FF0F48" w:rsidP="006721B8">
      <w:pPr>
        <w:pStyle w:val="TOC1"/>
        <w:rPr>
          <w:rFonts w:ascii="Times New Roman" w:hAnsi="Times New Roman" w:cs="Times New Roman"/>
          <w:b w:val="0"/>
          <w:bCs w:val="0"/>
          <w:lang w:eastAsia="lv-LV"/>
        </w:rPr>
      </w:pPr>
      <w:hyperlink w:anchor="_Toc430608291" w:history="1">
        <w:r w:rsidR="006721B8" w:rsidRPr="006721B8">
          <w:rPr>
            <w:rStyle w:val="Hyperlink"/>
            <w:rFonts w:ascii="Times New Roman" w:hAnsi="Times New Roman" w:cs="Times New Roman"/>
          </w:rPr>
          <w:t>5.</w:t>
        </w:r>
        <w:r w:rsidR="006721B8" w:rsidRPr="006721B8">
          <w:rPr>
            <w:rFonts w:ascii="Times New Roman" w:hAnsi="Times New Roman" w:cs="Times New Roman"/>
            <w:b w:val="0"/>
            <w:bCs w:val="0"/>
            <w:lang w:eastAsia="lv-LV"/>
          </w:rPr>
          <w:tab/>
        </w:r>
        <w:r w:rsidR="006721B8" w:rsidRPr="006721B8">
          <w:rPr>
            <w:rStyle w:val="Hyperlink"/>
            <w:rFonts w:ascii="Times New Roman" w:hAnsi="Times New Roman" w:cs="Times New Roman"/>
          </w:rPr>
          <w:t>Īpašie nosacījumi</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_Toc430608291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7</w:t>
        </w:r>
        <w:r w:rsidR="006721B8" w:rsidRPr="006721B8">
          <w:rPr>
            <w:rFonts w:ascii="Times New Roman" w:hAnsi="Times New Roman" w:cs="Times New Roman"/>
            <w:webHidden/>
          </w:rPr>
          <w:fldChar w:fldCharType="end"/>
        </w:r>
      </w:hyperlink>
    </w:p>
    <w:p w:rsidR="006721B8" w:rsidRPr="006721B8" w:rsidRDefault="00FF0F48" w:rsidP="006721B8">
      <w:pPr>
        <w:pStyle w:val="TOC1"/>
        <w:rPr>
          <w:rFonts w:ascii="Times New Roman" w:hAnsi="Times New Roman" w:cs="Times New Roman"/>
          <w:b w:val="0"/>
          <w:bCs w:val="0"/>
          <w:lang w:eastAsia="lv-LV"/>
        </w:rPr>
      </w:pPr>
      <w:hyperlink w:anchor="_Toc430608292" w:history="1">
        <w:r w:rsidR="006721B8" w:rsidRPr="006721B8">
          <w:rPr>
            <w:rStyle w:val="Hyperlink"/>
            <w:rFonts w:ascii="Times New Roman" w:hAnsi="Times New Roman" w:cs="Times New Roman"/>
          </w:rPr>
          <w:t>6.</w:t>
        </w:r>
        <w:r w:rsidR="006721B8" w:rsidRPr="006721B8">
          <w:rPr>
            <w:rFonts w:ascii="Times New Roman" w:hAnsi="Times New Roman" w:cs="Times New Roman"/>
            <w:b w:val="0"/>
            <w:bCs w:val="0"/>
            <w:lang w:eastAsia="lv-LV"/>
          </w:rPr>
          <w:tab/>
        </w:r>
        <w:r w:rsidR="006721B8" w:rsidRPr="006721B8">
          <w:rPr>
            <w:rStyle w:val="Hyperlink"/>
            <w:rFonts w:ascii="Times New Roman" w:hAnsi="Times New Roman" w:cs="Times New Roman"/>
          </w:rPr>
          <w:t>Atbildība</w:t>
        </w:r>
        <w:r w:rsidR="006721B8" w:rsidRPr="006721B8">
          <w:rPr>
            <w:rFonts w:ascii="Times New Roman" w:hAnsi="Times New Roman" w:cs="Times New Roman"/>
            <w:webHidden/>
          </w:rPr>
          <w:tab/>
        </w:r>
        <w:r w:rsidR="006721B8" w:rsidRPr="006721B8">
          <w:rPr>
            <w:rFonts w:ascii="Times New Roman" w:hAnsi="Times New Roman" w:cs="Times New Roman"/>
            <w:webHidden/>
          </w:rPr>
          <w:fldChar w:fldCharType="begin"/>
        </w:r>
        <w:r w:rsidR="006721B8" w:rsidRPr="006721B8">
          <w:rPr>
            <w:rFonts w:ascii="Times New Roman" w:hAnsi="Times New Roman" w:cs="Times New Roman"/>
            <w:webHidden/>
          </w:rPr>
          <w:instrText xml:space="preserve"> PAGEREF _Toc430608292 \h </w:instrText>
        </w:r>
        <w:r w:rsidR="006721B8" w:rsidRPr="006721B8">
          <w:rPr>
            <w:rFonts w:ascii="Times New Roman" w:hAnsi="Times New Roman" w:cs="Times New Roman"/>
            <w:webHidden/>
          </w:rPr>
        </w:r>
        <w:r w:rsidR="006721B8" w:rsidRPr="006721B8">
          <w:rPr>
            <w:rFonts w:ascii="Times New Roman" w:hAnsi="Times New Roman" w:cs="Times New Roman"/>
            <w:webHidden/>
          </w:rPr>
          <w:fldChar w:fldCharType="separate"/>
        </w:r>
        <w:r w:rsidR="006721B8" w:rsidRPr="006721B8">
          <w:rPr>
            <w:rFonts w:ascii="Times New Roman" w:hAnsi="Times New Roman" w:cs="Times New Roman"/>
            <w:webHidden/>
          </w:rPr>
          <w:t>8</w:t>
        </w:r>
        <w:r w:rsidR="006721B8" w:rsidRPr="006721B8">
          <w:rPr>
            <w:rFonts w:ascii="Times New Roman" w:hAnsi="Times New Roman" w:cs="Times New Roman"/>
            <w:webHidden/>
          </w:rPr>
          <w:fldChar w:fldCharType="end"/>
        </w:r>
      </w:hyperlink>
    </w:p>
    <w:p w:rsidR="006721B8" w:rsidRPr="006721B8" w:rsidRDefault="006721B8" w:rsidP="006721B8">
      <w:pPr>
        <w:rPr>
          <w:rFonts w:ascii="Times New Roman" w:hAnsi="Times New Roman"/>
        </w:rPr>
      </w:pPr>
      <w:r w:rsidRPr="006721B8">
        <w:rPr>
          <w:rFonts w:ascii="Times New Roman" w:hAnsi="Times New Roman"/>
          <w:b/>
          <w:bCs/>
          <w:noProof/>
        </w:rPr>
        <w:fldChar w:fldCharType="end"/>
      </w:r>
    </w:p>
    <w:p w:rsidR="006721B8" w:rsidRPr="006721B8" w:rsidRDefault="006721B8" w:rsidP="006721B8">
      <w:pPr>
        <w:rPr>
          <w:rFonts w:ascii="Times New Roman" w:hAnsi="Times New Roman"/>
        </w:rPr>
      </w:pPr>
    </w:p>
    <w:p w:rsidR="006721B8" w:rsidRPr="006721B8" w:rsidRDefault="006721B8" w:rsidP="006721B8">
      <w:pPr>
        <w:rPr>
          <w:rFonts w:ascii="Times New Roman" w:hAnsi="Times New Roman"/>
          <w:b/>
        </w:rPr>
      </w:pPr>
    </w:p>
    <w:p w:rsidR="006721B8" w:rsidRPr="006721B8" w:rsidRDefault="006721B8" w:rsidP="006721B8">
      <w:pPr>
        <w:pStyle w:val="Heading1"/>
        <w:numPr>
          <w:ilvl w:val="0"/>
          <w:numId w:val="19"/>
        </w:numPr>
        <w:spacing w:before="0" w:after="0" w:line="360" w:lineRule="auto"/>
        <w:jc w:val="both"/>
        <w:rPr>
          <w:rFonts w:ascii="Times New Roman" w:hAnsi="Times New Roman"/>
        </w:rPr>
      </w:pPr>
      <w:bookmarkStart w:id="1" w:name="_Toc430269425"/>
      <w:bookmarkStart w:id="2" w:name="_Toc430608285"/>
      <w:r w:rsidRPr="006721B8">
        <w:rPr>
          <w:rFonts w:ascii="Times New Roman" w:hAnsi="Times New Roman"/>
        </w:rPr>
        <w:t>Vispārīgie jautājumi – dokumenta mērķis, darbības sfēra</w:t>
      </w:r>
      <w:bookmarkEnd w:id="1"/>
      <w:bookmarkEnd w:id="2"/>
    </w:p>
    <w:p w:rsidR="006721B8" w:rsidRPr="006721B8" w:rsidRDefault="006721B8" w:rsidP="006721B8">
      <w:pPr>
        <w:spacing w:line="360" w:lineRule="auto"/>
        <w:ind w:firstLine="360"/>
        <w:rPr>
          <w:rFonts w:ascii="Times New Roman" w:hAnsi="Times New Roman"/>
        </w:rPr>
      </w:pPr>
    </w:p>
    <w:p w:rsidR="006721B8" w:rsidRPr="006721B8" w:rsidRDefault="006721B8" w:rsidP="006721B8">
      <w:pPr>
        <w:spacing w:line="360" w:lineRule="auto"/>
        <w:ind w:firstLine="360"/>
        <w:rPr>
          <w:rFonts w:ascii="Times New Roman" w:hAnsi="Times New Roman"/>
        </w:rPr>
      </w:pPr>
      <w:r w:rsidRPr="006721B8">
        <w:rPr>
          <w:rFonts w:ascii="Times New Roman" w:hAnsi="Times New Roman"/>
        </w:rPr>
        <w:t xml:space="preserve"> Kārtība „Par būvprojektu saskaņošanu AS „Latvenergo” (turpmāk tekstā – Kārtība) izstrādāta:</w:t>
      </w:r>
    </w:p>
    <w:p w:rsidR="006721B8" w:rsidRPr="006721B8" w:rsidRDefault="006721B8" w:rsidP="006721B8">
      <w:pPr>
        <w:pStyle w:val="CommentText"/>
        <w:numPr>
          <w:ilvl w:val="1"/>
          <w:numId w:val="19"/>
        </w:numPr>
        <w:spacing w:line="360" w:lineRule="auto"/>
        <w:rPr>
          <w:rFonts w:ascii="Times New Roman" w:hAnsi="Times New Roman"/>
          <w:sz w:val="24"/>
          <w:szCs w:val="24"/>
        </w:rPr>
      </w:pPr>
      <w:r w:rsidRPr="006721B8">
        <w:rPr>
          <w:rFonts w:ascii="Times New Roman" w:hAnsi="Times New Roman"/>
          <w:sz w:val="24"/>
          <w:szCs w:val="24"/>
        </w:rPr>
        <w:t xml:space="preserve">lai nodrošinātu vienotu un efektīvu nekustamā īpašuma īpašnieka saskaņojuma procedūru saistībā ar </w:t>
      </w:r>
      <w:r w:rsidRPr="006721B8">
        <w:rPr>
          <w:rFonts w:ascii="Times New Roman" w:hAnsi="Times New Roman"/>
          <w:i/>
          <w:sz w:val="24"/>
          <w:szCs w:val="24"/>
        </w:rPr>
        <w:t>Latvenergo</w:t>
      </w:r>
      <w:r w:rsidRPr="006721B8">
        <w:rPr>
          <w:rFonts w:ascii="Times New Roman" w:hAnsi="Times New Roman"/>
          <w:sz w:val="24"/>
          <w:szCs w:val="24"/>
        </w:rPr>
        <w:t xml:space="preserve"> koncerna sabiedrību vai trešo personu ierosināto būvniecību AS "Latvenergo" nekustamajos īpašumos, kā arī valstij Ekonomikas ministrijas personā piederošajos/piekrītošajos nekustamajos īpašumos, kas nepieciešami Latvenergo koncerna sabiedrību komercdarbībai;</w:t>
      </w:r>
    </w:p>
    <w:p w:rsidR="006721B8" w:rsidRPr="006721B8" w:rsidRDefault="006721B8" w:rsidP="006721B8">
      <w:pPr>
        <w:pStyle w:val="CommentText"/>
        <w:numPr>
          <w:ilvl w:val="1"/>
          <w:numId w:val="19"/>
        </w:numPr>
        <w:spacing w:line="360" w:lineRule="auto"/>
        <w:rPr>
          <w:rFonts w:ascii="Times New Roman" w:hAnsi="Times New Roman"/>
          <w:sz w:val="24"/>
          <w:szCs w:val="24"/>
        </w:rPr>
      </w:pPr>
      <w:r w:rsidRPr="006721B8">
        <w:rPr>
          <w:rFonts w:ascii="Times New Roman" w:hAnsi="Times New Roman"/>
          <w:sz w:val="24"/>
          <w:szCs w:val="24"/>
        </w:rPr>
        <w:t xml:space="preserve"> lai minimizētu riskus ar nekustamā īpašuma īpašnieku  nesaskaņotas būvniecības, būves novietošanas, atjaunošanas (renovācijas) vai pārbūves (rekonstrukcijas) veikšanai;</w:t>
      </w:r>
    </w:p>
    <w:p w:rsidR="006721B8" w:rsidRPr="006721B8" w:rsidRDefault="006721B8" w:rsidP="006721B8">
      <w:pPr>
        <w:pStyle w:val="CommentText"/>
        <w:numPr>
          <w:ilvl w:val="1"/>
          <w:numId w:val="19"/>
        </w:numPr>
        <w:spacing w:line="360" w:lineRule="auto"/>
        <w:rPr>
          <w:rFonts w:ascii="Times New Roman" w:hAnsi="Times New Roman"/>
          <w:sz w:val="24"/>
          <w:szCs w:val="24"/>
        </w:rPr>
      </w:pPr>
      <w:r w:rsidRPr="006721B8">
        <w:rPr>
          <w:rFonts w:ascii="Times New Roman" w:hAnsi="Times New Roman"/>
          <w:sz w:val="24"/>
          <w:szCs w:val="24"/>
        </w:rPr>
        <w:t xml:space="preserve"> lai izvērtētu un noteiktu iespējamo atlīdzību trešajām personām par nekustamā īpašuma lietošanu.</w:t>
      </w:r>
    </w:p>
    <w:p w:rsidR="006721B8" w:rsidRPr="006721B8" w:rsidRDefault="006721B8" w:rsidP="006721B8">
      <w:pPr>
        <w:spacing w:line="360" w:lineRule="auto"/>
        <w:ind w:firstLine="360"/>
        <w:rPr>
          <w:rFonts w:ascii="Times New Roman" w:hAnsi="Times New Roman"/>
        </w:rPr>
      </w:pPr>
    </w:p>
    <w:p w:rsidR="006721B8" w:rsidRPr="006721B8" w:rsidRDefault="006721B8" w:rsidP="006721B8">
      <w:pPr>
        <w:spacing w:line="360" w:lineRule="auto"/>
        <w:ind w:firstLine="360"/>
        <w:rPr>
          <w:rFonts w:ascii="Times New Roman" w:hAnsi="Times New Roman"/>
        </w:rPr>
      </w:pPr>
      <w:r w:rsidRPr="006721B8">
        <w:rPr>
          <w:rFonts w:ascii="Times New Roman" w:hAnsi="Times New Roman"/>
        </w:rPr>
        <w:t>Kārtība nosaka Būvprojektu, kas skar AS „Latvenergo” nekustamos īpašumus, vai valdījumā / lietojumā esošo īpašumu (uz pilnvarojuma pamata), saskaņošanas pamatprincipus, atbilstoši Būvniecības likumam, Enerģētikas likumam, Aizsargjoslu likumam un uz to pamata izdotajiem normatīvajiem aktiem, Civillikumam, Publiskas personas finanšu līdzekļu un mantas izšķērdēšanas novēršanas likumam,  „Noteikumiem AS „Latvenergo” darbinieku tiesībām rīcībai ar uzņēmuma resursiem” un citiem ārējiem un iekšējiem normatīvajiem aktiem.</w:t>
      </w:r>
    </w:p>
    <w:p w:rsidR="006721B8" w:rsidRPr="006721B8" w:rsidRDefault="006721B8" w:rsidP="006721B8">
      <w:pPr>
        <w:spacing w:line="360" w:lineRule="auto"/>
        <w:ind w:firstLine="360"/>
        <w:rPr>
          <w:rFonts w:ascii="Times New Roman" w:hAnsi="Times New Roman"/>
        </w:rPr>
      </w:pPr>
      <w:r w:rsidRPr="006721B8">
        <w:rPr>
          <w:rFonts w:ascii="Times New Roman" w:hAnsi="Times New Roman"/>
        </w:rPr>
        <w:lastRenderedPageBreak/>
        <w:t xml:space="preserve">Kārtība ir saistoša </w:t>
      </w:r>
      <w:r w:rsidRPr="006721B8">
        <w:rPr>
          <w:rFonts w:ascii="Times New Roman" w:hAnsi="Times New Roman"/>
          <w:i/>
        </w:rPr>
        <w:t>Latvenergo</w:t>
      </w:r>
      <w:r w:rsidRPr="006721B8">
        <w:rPr>
          <w:rFonts w:ascii="Times New Roman" w:hAnsi="Times New Roman"/>
        </w:rPr>
        <w:t xml:space="preserve"> koncerna sabiedrībām, attiecībā uz AS „Latvenergo” īpašumā, valdījumā vai lietošanā (uz pilnvarojuma pamata) esošu nekustamo īpašumu apbūvi, atjaunošanu/pārbūvi, nojaukšanu vai apgrūtināšanu.  </w:t>
      </w:r>
    </w:p>
    <w:p w:rsidR="006721B8" w:rsidRPr="006721B8" w:rsidRDefault="006721B8" w:rsidP="006721B8">
      <w:pPr>
        <w:spacing w:line="360" w:lineRule="auto"/>
        <w:rPr>
          <w:rFonts w:ascii="Times New Roman" w:hAnsi="Times New Roman"/>
        </w:rPr>
      </w:pPr>
    </w:p>
    <w:p w:rsidR="006721B8" w:rsidRPr="006721B8" w:rsidRDefault="006721B8" w:rsidP="006721B8">
      <w:pPr>
        <w:pStyle w:val="Heading1"/>
        <w:numPr>
          <w:ilvl w:val="0"/>
          <w:numId w:val="19"/>
        </w:numPr>
        <w:spacing w:before="0" w:after="0" w:line="360" w:lineRule="auto"/>
        <w:jc w:val="both"/>
        <w:rPr>
          <w:rFonts w:ascii="Times New Roman" w:hAnsi="Times New Roman"/>
        </w:rPr>
      </w:pPr>
      <w:bookmarkStart w:id="3" w:name="_Toc430269426"/>
      <w:bookmarkStart w:id="4" w:name="_Toc430608286"/>
      <w:r w:rsidRPr="006721B8">
        <w:rPr>
          <w:rFonts w:ascii="Times New Roman" w:hAnsi="Times New Roman"/>
        </w:rPr>
        <w:t>Terminoloģija un saīsinājumi</w:t>
      </w:r>
      <w:bookmarkEnd w:id="3"/>
      <w:bookmarkEnd w:id="4"/>
    </w:p>
    <w:p w:rsidR="006721B8" w:rsidRPr="006721B8" w:rsidRDefault="006721B8" w:rsidP="006721B8">
      <w:pPr>
        <w:pStyle w:val="Heading2"/>
        <w:spacing w:line="360" w:lineRule="auto"/>
        <w:rPr>
          <w:rFonts w:ascii="Times New Roman" w:hAnsi="Times New Roman"/>
        </w:rPr>
      </w:pPr>
      <w:bookmarkStart w:id="5" w:name="_Toc430269427"/>
      <w:bookmarkStart w:id="6" w:name="_Toc430608287"/>
      <w:r w:rsidRPr="006721B8">
        <w:rPr>
          <w:rFonts w:ascii="Times New Roman" w:hAnsi="Times New Roman"/>
        </w:rPr>
        <w:t>2.1. Terminoloģija</w:t>
      </w:r>
      <w:bookmarkEnd w:id="5"/>
      <w:bookmarkEnd w:id="6"/>
    </w:p>
    <w:p w:rsidR="006721B8" w:rsidRPr="006721B8" w:rsidRDefault="006721B8" w:rsidP="006721B8">
      <w:pPr>
        <w:spacing w:line="360" w:lineRule="auto"/>
        <w:rPr>
          <w:rFonts w:ascii="Times New Roman" w:hAnsi="Times New Roman"/>
        </w:rPr>
      </w:pPr>
      <w:r w:rsidRPr="006721B8">
        <w:rPr>
          <w:rFonts w:ascii="Times New Roman" w:hAnsi="Times New Roman"/>
          <w:b/>
        </w:rPr>
        <w:t xml:space="preserve">Apgrūtinājums </w:t>
      </w:r>
      <w:r w:rsidRPr="006721B8">
        <w:rPr>
          <w:rFonts w:ascii="Times New Roman" w:hAnsi="Times New Roman"/>
        </w:rPr>
        <w:t>– nekustamā īpašuma objekta apgrūtinājums - zemes vienības teritorija (daļa) vai būve (tās daļa), kurā saskaņā ar normatīvo aktu, līgumu vai tiesas nolēmumu ir noteikts lietošanas tiesību vai saimnieciskās darbības ierobežojums (aprobežojumi) vai nodibināts servitūts;</w:t>
      </w:r>
    </w:p>
    <w:p w:rsidR="006721B8" w:rsidRPr="006721B8" w:rsidRDefault="006721B8" w:rsidP="006721B8">
      <w:pPr>
        <w:spacing w:line="360" w:lineRule="auto"/>
        <w:rPr>
          <w:rFonts w:ascii="Times New Roman" w:hAnsi="Times New Roman"/>
          <w:b/>
          <w:i/>
        </w:rPr>
      </w:pPr>
      <w:r w:rsidRPr="006721B8">
        <w:rPr>
          <w:rFonts w:ascii="Times New Roman" w:hAnsi="Times New Roman"/>
          <w:b/>
        </w:rPr>
        <w:t xml:space="preserve">Būve </w:t>
      </w:r>
      <w:r w:rsidRPr="006721B8">
        <w:rPr>
          <w:rFonts w:ascii="Times New Roman" w:hAnsi="Times New Roman"/>
        </w:rPr>
        <w:t xml:space="preserve">-  ķermeniska lieta, kas tapusi cilvēka darbības rezultātā un ir saistīta ar pamatni (zemi vai gultni); </w:t>
      </w:r>
    </w:p>
    <w:p w:rsidR="006721B8" w:rsidRPr="006721B8" w:rsidRDefault="006721B8" w:rsidP="006721B8">
      <w:pPr>
        <w:spacing w:line="360" w:lineRule="auto"/>
        <w:rPr>
          <w:rFonts w:ascii="Times New Roman" w:hAnsi="Times New Roman"/>
          <w:b/>
        </w:rPr>
      </w:pPr>
      <w:r w:rsidRPr="006721B8">
        <w:rPr>
          <w:rFonts w:ascii="Times New Roman" w:hAnsi="Times New Roman"/>
          <w:b/>
        </w:rPr>
        <w:t xml:space="preserve">Būvprojekts </w:t>
      </w:r>
      <w:r w:rsidRPr="006721B8">
        <w:rPr>
          <w:rFonts w:ascii="Times New Roman" w:hAnsi="Times New Roman"/>
        </w:rPr>
        <w:t>— būvniecības ieceres īstenošanai nepieciešamo  grafisko un teksta materiālu kopums;</w:t>
      </w:r>
    </w:p>
    <w:p w:rsidR="006721B8" w:rsidRPr="006721B8" w:rsidRDefault="006721B8" w:rsidP="006721B8">
      <w:pPr>
        <w:spacing w:line="360" w:lineRule="auto"/>
        <w:rPr>
          <w:rFonts w:ascii="Times New Roman" w:hAnsi="Times New Roman"/>
          <w:i/>
        </w:rPr>
      </w:pPr>
      <w:r w:rsidRPr="006721B8">
        <w:rPr>
          <w:rFonts w:ascii="Times New Roman" w:hAnsi="Times New Roman"/>
          <w:b/>
        </w:rPr>
        <w:t>Energoapgādes objekts</w:t>
      </w:r>
      <w:r w:rsidRPr="006721B8">
        <w:rPr>
          <w:rFonts w:ascii="Times New Roman" w:hAnsi="Times New Roman"/>
        </w:rPr>
        <w:t xml:space="preserve"> – ēkas, inženierbūves, iekārtas, ietaises, līnijas, tīkli, kas paredzēti elektroenerģijas ražošanai, pārvadei vai sadalei;</w:t>
      </w:r>
    </w:p>
    <w:p w:rsidR="006721B8" w:rsidRPr="006721B8" w:rsidRDefault="006721B8" w:rsidP="006721B8">
      <w:pPr>
        <w:spacing w:line="360" w:lineRule="auto"/>
        <w:rPr>
          <w:rFonts w:ascii="Times New Roman" w:hAnsi="Times New Roman"/>
        </w:rPr>
      </w:pPr>
      <w:r w:rsidRPr="006721B8">
        <w:rPr>
          <w:rFonts w:ascii="Times New Roman" w:hAnsi="Times New Roman"/>
          <w:b/>
        </w:rPr>
        <w:t>Nekustamie īpašumi</w:t>
      </w:r>
      <w:r w:rsidRPr="006721B8">
        <w:rPr>
          <w:rFonts w:ascii="Times New Roman" w:hAnsi="Times New Roman"/>
        </w:rPr>
        <w:t xml:space="preserve"> – AS „Latvenergo” īpašumā, valdījumā vai lietošanā esošas zemes vienības, būves (tai skaitā transporta būves, hidrobūves, torņi, dūmeņi, u.c.);</w:t>
      </w:r>
    </w:p>
    <w:p w:rsidR="006721B8" w:rsidRPr="006721B8" w:rsidRDefault="006721B8" w:rsidP="006721B8">
      <w:pPr>
        <w:spacing w:line="360" w:lineRule="auto"/>
        <w:rPr>
          <w:rFonts w:ascii="Times New Roman" w:hAnsi="Times New Roman"/>
        </w:rPr>
      </w:pPr>
      <w:r w:rsidRPr="006721B8">
        <w:rPr>
          <w:rFonts w:ascii="Times New Roman" w:hAnsi="Times New Roman"/>
          <w:b/>
        </w:rPr>
        <w:t>NĪPF</w:t>
      </w:r>
      <w:r w:rsidRPr="006721B8">
        <w:rPr>
          <w:rFonts w:ascii="Times New Roman" w:hAnsi="Times New Roman"/>
        </w:rPr>
        <w:t xml:space="preserve"> – Nekustamo īpašumu pārvaldības funkcija.</w:t>
      </w:r>
    </w:p>
    <w:p w:rsidR="006721B8" w:rsidRPr="006721B8" w:rsidRDefault="006721B8" w:rsidP="006721B8">
      <w:pPr>
        <w:pStyle w:val="Heading2"/>
        <w:spacing w:line="360" w:lineRule="auto"/>
        <w:rPr>
          <w:rFonts w:ascii="Times New Roman" w:hAnsi="Times New Roman"/>
        </w:rPr>
      </w:pPr>
      <w:bookmarkStart w:id="7" w:name="_Toc430269428"/>
      <w:bookmarkStart w:id="8" w:name="_Toc430608288"/>
      <w:r w:rsidRPr="006721B8">
        <w:rPr>
          <w:rFonts w:ascii="Times New Roman" w:hAnsi="Times New Roman"/>
        </w:rPr>
        <w:t>2.2.Saīsinājumi shēmās</w:t>
      </w:r>
      <w:bookmarkEnd w:id="7"/>
      <w:bookmarkEnd w:id="8"/>
    </w:p>
    <w:p w:rsidR="006721B8" w:rsidRPr="006721B8" w:rsidRDefault="006721B8" w:rsidP="006721B8">
      <w:pPr>
        <w:spacing w:line="360" w:lineRule="auto"/>
        <w:rPr>
          <w:rFonts w:ascii="Times New Roman" w:hAnsi="Times New Roman"/>
        </w:rPr>
      </w:pPr>
      <w:r w:rsidRPr="006721B8">
        <w:rPr>
          <w:rFonts w:ascii="Times New Roman" w:hAnsi="Times New Roman"/>
        </w:rPr>
        <w:t>BPr. – būvprojekts;</w:t>
      </w:r>
    </w:p>
    <w:p w:rsidR="006721B8" w:rsidRPr="006721B8" w:rsidRDefault="006721B8" w:rsidP="006721B8">
      <w:pPr>
        <w:spacing w:line="360" w:lineRule="auto"/>
        <w:rPr>
          <w:rFonts w:ascii="Times New Roman" w:hAnsi="Times New Roman"/>
        </w:rPr>
      </w:pPr>
      <w:r w:rsidRPr="006721B8">
        <w:rPr>
          <w:rFonts w:ascii="Times New Roman" w:hAnsi="Times New Roman"/>
        </w:rPr>
        <w:t>LE – AS „Latvenergo”;</w:t>
      </w:r>
    </w:p>
    <w:p w:rsidR="006721B8" w:rsidRPr="006721B8" w:rsidRDefault="006721B8" w:rsidP="006721B8">
      <w:pPr>
        <w:spacing w:line="360" w:lineRule="auto"/>
        <w:rPr>
          <w:rFonts w:ascii="Times New Roman" w:hAnsi="Times New Roman"/>
        </w:rPr>
      </w:pPr>
      <w:r w:rsidRPr="006721B8">
        <w:rPr>
          <w:rFonts w:ascii="Times New Roman" w:hAnsi="Times New Roman"/>
        </w:rPr>
        <w:t>EM – Ekonomikas ministrija;</w:t>
      </w:r>
    </w:p>
    <w:p w:rsidR="006721B8" w:rsidRPr="006721B8" w:rsidRDefault="006721B8" w:rsidP="006721B8">
      <w:pPr>
        <w:spacing w:line="360" w:lineRule="auto"/>
        <w:rPr>
          <w:rFonts w:ascii="Times New Roman" w:hAnsi="Times New Roman"/>
        </w:rPr>
      </w:pPr>
      <w:r w:rsidRPr="006721B8">
        <w:rPr>
          <w:rFonts w:ascii="Times New Roman" w:hAnsi="Times New Roman"/>
        </w:rPr>
        <w:t>NĪ – nekustamais īpašums, attiecībā uz kuru jāveic saskaņojums;</w:t>
      </w:r>
    </w:p>
    <w:p w:rsidR="006721B8" w:rsidRPr="006721B8" w:rsidRDefault="006721B8" w:rsidP="006721B8">
      <w:pPr>
        <w:spacing w:line="360" w:lineRule="auto"/>
        <w:rPr>
          <w:rFonts w:ascii="Times New Roman" w:hAnsi="Times New Roman"/>
        </w:rPr>
      </w:pPr>
      <w:r w:rsidRPr="006721B8">
        <w:rPr>
          <w:rFonts w:ascii="Times New Roman" w:hAnsi="Times New Roman"/>
        </w:rPr>
        <w:t xml:space="preserve">PU – projektēšanas uzdevums būvprojekta izstrādei; </w:t>
      </w:r>
    </w:p>
    <w:p w:rsidR="006721B8" w:rsidRPr="006721B8" w:rsidRDefault="006721B8" w:rsidP="006721B8">
      <w:pPr>
        <w:spacing w:line="360" w:lineRule="auto"/>
        <w:rPr>
          <w:rFonts w:ascii="Times New Roman" w:hAnsi="Times New Roman"/>
        </w:rPr>
      </w:pPr>
      <w:r w:rsidRPr="006721B8">
        <w:rPr>
          <w:rFonts w:ascii="Times New Roman" w:hAnsi="Times New Roman"/>
        </w:rPr>
        <w:t>TN – tehniskie noteikumi būvprojekta izstrādei.</w:t>
      </w:r>
    </w:p>
    <w:p w:rsidR="006721B8" w:rsidRPr="006721B8" w:rsidRDefault="006721B8" w:rsidP="006721B8">
      <w:pPr>
        <w:spacing w:line="360" w:lineRule="auto"/>
        <w:rPr>
          <w:rFonts w:ascii="Times New Roman" w:hAnsi="Times New Roman"/>
        </w:rPr>
      </w:pPr>
    </w:p>
    <w:p w:rsidR="006721B8" w:rsidRPr="006721B8" w:rsidRDefault="006721B8" w:rsidP="006721B8">
      <w:pPr>
        <w:pStyle w:val="Heading1"/>
        <w:numPr>
          <w:ilvl w:val="0"/>
          <w:numId w:val="19"/>
        </w:numPr>
        <w:spacing w:before="0" w:after="0" w:line="360" w:lineRule="auto"/>
        <w:jc w:val="both"/>
        <w:rPr>
          <w:rFonts w:ascii="Times New Roman" w:hAnsi="Times New Roman"/>
        </w:rPr>
      </w:pPr>
      <w:bookmarkStart w:id="9" w:name="_Toc430269429"/>
      <w:bookmarkStart w:id="10" w:name="_Toc430608289"/>
      <w:r w:rsidRPr="006721B8">
        <w:rPr>
          <w:rFonts w:ascii="Times New Roman" w:hAnsi="Times New Roman"/>
        </w:rPr>
        <w:t>Būvprojektu veidi (kategorijas)</w:t>
      </w:r>
      <w:bookmarkEnd w:id="9"/>
      <w:bookmarkEnd w:id="10"/>
    </w:p>
    <w:p w:rsidR="006721B8" w:rsidRPr="006721B8" w:rsidRDefault="006721B8" w:rsidP="006721B8">
      <w:pPr>
        <w:spacing w:line="360" w:lineRule="auto"/>
        <w:rPr>
          <w:rFonts w:ascii="Times New Roman" w:hAnsi="Times New Roman"/>
          <w:b/>
        </w:rPr>
      </w:pPr>
    </w:p>
    <w:p w:rsidR="006721B8" w:rsidRPr="006721B8" w:rsidRDefault="006721B8" w:rsidP="006721B8">
      <w:pPr>
        <w:spacing w:line="360" w:lineRule="auto"/>
        <w:ind w:firstLine="360"/>
        <w:rPr>
          <w:rFonts w:ascii="Times New Roman" w:hAnsi="Times New Roman"/>
        </w:rPr>
      </w:pPr>
      <w:r w:rsidRPr="006721B8">
        <w:rPr>
          <w:rFonts w:ascii="Times New Roman" w:hAnsi="Times New Roman"/>
        </w:rPr>
        <w:lastRenderedPageBreak/>
        <w:t>Būvprojekti, kas iesniegti AS „Latvenergo” saskaņošanai, atkarībā no to pasūtītāja (</w:t>
      </w:r>
      <w:r w:rsidRPr="006721B8">
        <w:rPr>
          <w:rFonts w:ascii="Times New Roman" w:hAnsi="Times New Roman"/>
          <w:i/>
        </w:rPr>
        <w:t>Latvenergo</w:t>
      </w:r>
      <w:r w:rsidRPr="006721B8">
        <w:rPr>
          <w:rFonts w:ascii="Times New Roman" w:hAnsi="Times New Roman"/>
        </w:rPr>
        <w:t xml:space="preserve"> koncerna sabiedrības, trešās personas) un nekustamā īpašuma piederības/piekritības, tiek iedalīti vairākās kategorijās.</w:t>
      </w:r>
    </w:p>
    <w:p w:rsidR="006721B8" w:rsidRPr="006721B8" w:rsidRDefault="006721B8" w:rsidP="006721B8">
      <w:pPr>
        <w:spacing w:line="360" w:lineRule="auto"/>
        <w:ind w:left="360"/>
        <w:rPr>
          <w:rFonts w:ascii="Times New Roman" w:hAnsi="Times New Roman"/>
          <w:u w:val="single"/>
        </w:rPr>
      </w:pPr>
      <w:r w:rsidRPr="006721B8">
        <w:rPr>
          <w:rFonts w:ascii="Times New Roman" w:hAnsi="Times New Roman"/>
        </w:rPr>
        <w:t>3.1.</w:t>
      </w:r>
      <w:r w:rsidRPr="006721B8">
        <w:rPr>
          <w:rFonts w:ascii="Times New Roman" w:hAnsi="Times New Roman"/>
          <w:u w:val="single"/>
        </w:rPr>
        <w:t>Iedalījums pēc nekustamā īpašuma, uz ko attieksies saskaņojums, piederības/piekritības:</w:t>
      </w:r>
    </w:p>
    <w:p w:rsidR="006721B8" w:rsidRPr="006721B8" w:rsidRDefault="006721B8" w:rsidP="006721B8">
      <w:pPr>
        <w:pStyle w:val="ListParagraph"/>
        <w:spacing w:line="360" w:lineRule="auto"/>
        <w:rPr>
          <w:rFonts w:ascii="Times New Roman" w:hAnsi="Times New Roman"/>
        </w:rPr>
      </w:pPr>
      <w:r w:rsidRPr="006721B8">
        <w:rPr>
          <w:rFonts w:ascii="Times New Roman" w:hAnsi="Times New Roman"/>
        </w:rPr>
        <w:t>3.1.1. AS „Latvenergo” piederošs nekustamais īpašums – zemes un/vai būvju īpašums;</w:t>
      </w:r>
    </w:p>
    <w:p w:rsidR="006721B8" w:rsidRPr="006721B8" w:rsidRDefault="006721B8" w:rsidP="006721B8">
      <w:pPr>
        <w:pStyle w:val="ListParagraph"/>
        <w:spacing w:line="360" w:lineRule="auto"/>
        <w:rPr>
          <w:rFonts w:ascii="Times New Roman" w:hAnsi="Times New Roman"/>
        </w:rPr>
      </w:pPr>
      <w:r w:rsidRPr="006721B8">
        <w:rPr>
          <w:rFonts w:ascii="Times New Roman" w:hAnsi="Times New Roman"/>
        </w:rPr>
        <w:t>3.1.2. valstij Ekonomikas ministrijas personā piekrītošs/piederošs nekustamais īpašums (uz pilnvarojuma pamata pārstāv AS „Latvenergo”).</w:t>
      </w:r>
    </w:p>
    <w:p w:rsidR="006721B8" w:rsidRPr="006721B8" w:rsidRDefault="006721B8" w:rsidP="006721B8">
      <w:pPr>
        <w:spacing w:line="360" w:lineRule="auto"/>
        <w:rPr>
          <w:rFonts w:ascii="Times New Roman" w:hAnsi="Times New Roman"/>
        </w:rPr>
      </w:pPr>
    </w:p>
    <w:p w:rsidR="006721B8" w:rsidRPr="006721B8" w:rsidRDefault="006721B8" w:rsidP="006721B8">
      <w:pPr>
        <w:spacing w:line="360" w:lineRule="auto"/>
        <w:ind w:firstLine="360"/>
        <w:jc w:val="center"/>
        <w:rPr>
          <w:rFonts w:ascii="Times New Roman" w:hAnsi="Times New Roman"/>
          <w:b/>
        </w:rPr>
      </w:pPr>
      <w:r w:rsidRPr="006721B8">
        <w:rPr>
          <w:rFonts w:ascii="Times New Roman" w:hAnsi="Times New Roman"/>
        </w:rPr>
        <w:object w:dxaOrig="6254"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144.6pt" o:ole="">
            <v:imagedata r:id="rId8" o:title=""/>
          </v:shape>
          <o:OLEObject Type="Embed" ProgID="Visio.Drawing.11" ShapeID="_x0000_i1025" DrawAspect="Content" ObjectID="_1681192318" r:id="rId9"/>
        </w:object>
      </w:r>
    </w:p>
    <w:p w:rsidR="006721B8" w:rsidRPr="006721B8" w:rsidRDefault="006721B8" w:rsidP="006721B8">
      <w:pPr>
        <w:spacing w:line="360" w:lineRule="auto"/>
        <w:ind w:firstLine="360"/>
        <w:rPr>
          <w:rFonts w:ascii="Times New Roman" w:hAnsi="Times New Roman"/>
          <w:color w:val="000000"/>
          <w:sz w:val="16"/>
          <w:szCs w:val="16"/>
          <w:lang w:eastAsia="lv-LV"/>
        </w:rPr>
      </w:pPr>
    </w:p>
    <w:p w:rsidR="006721B8" w:rsidRPr="006721B8" w:rsidRDefault="006721B8" w:rsidP="006721B8">
      <w:pPr>
        <w:spacing w:line="360" w:lineRule="auto"/>
        <w:ind w:firstLine="360"/>
        <w:rPr>
          <w:rFonts w:ascii="Times New Roman" w:hAnsi="Times New Roman"/>
          <w:sz w:val="20"/>
          <w:szCs w:val="20"/>
        </w:rPr>
      </w:pPr>
      <w:r w:rsidRPr="006721B8">
        <w:rPr>
          <w:rFonts w:ascii="Times New Roman" w:hAnsi="Times New Roman"/>
          <w:sz w:val="20"/>
          <w:szCs w:val="20"/>
        </w:rPr>
        <w:t>1.shēma. AS „Latvenergo” kā nekustamā īpašuma īpašnieka vai valdītāja/lietotāja (uz pilnvarojuma   pamata) saskaņojumu  shēma.</w:t>
      </w:r>
    </w:p>
    <w:p w:rsidR="006721B8" w:rsidRPr="006721B8" w:rsidRDefault="006721B8" w:rsidP="006721B8">
      <w:pPr>
        <w:spacing w:line="360" w:lineRule="auto"/>
        <w:ind w:firstLine="360"/>
        <w:rPr>
          <w:rFonts w:ascii="Times New Roman" w:hAnsi="Times New Roman"/>
        </w:rPr>
      </w:pPr>
    </w:p>
    <w:p w:rsidR="006721B8" w:rsidRPr="006721B8" w:rsidRDefault="006721B8" w:rsidP="006721B8">
      <w:pPr>
        <w:spacing w:line="360" w:lineRule="auto"/>
        <w:ind w:firstLine="360"/>
        <w:rPr>
          <w:rFonts w:ascii="Times New Roman" w:hAnsi="Times New Roman"/>
        </w:rPr>
      </w:pPr>
      <w:r w:rsidRPr="006721B8">
        <w:rPr>
          <w:rFonts w:ascii="Times New Roman" w:hAnsi="Times New Roman"/>
        </w:rPr>
        <w:t>3.2.</w:t>
      </w:r>
      <w:r w:rsidRPr="006721B8">
        <w:rPr>
          <w:rFonts w:ascii="Times New Roman" w:hAnsi="Times New Roman"/>
          <w:u w:val="single"/>
        </w:rPr>
        <w:t>Iedalījums pēc projektējamās būves īpašnieka</w:t>
      </w:r>
      <w:r w:rsidRPr="006721B8">
        <w:rPr>
          <w:rFonts w:ascii="Times New Roman" w:hAnsi="Times New Roman"/>
        </w:rPr>
        <w:t>:</w:t>
      </w:r>
    </w:p>
    <w:p w:rsidR="006721B8" w:rsidRPr="006721B8" w:rsidRDefault="006721B8" w:rsidP="006721B8">
      <w:pPr>
        <w:pStyle w:val="ListParagraph"/>
        <w:numPr>
          <w:ilvl w:val="2"/>
          <w:numId w:val="21"/>
        </w:numPr>
        <w:spacing w:line="360" w:lineRule="auto"/>
        <w:rPr>
          <w:rFonts w:ascii="Times New Roman" w:hAnsi="Times New Roman"/>
        </w:rPr>
      </w:pPr>
      <w:r w:rsidRPr="006721B8">
        <w:rPr>
          <w:rFonts w:ascii="Times New Roman" w:hAnsi="Times New Roman"/>
        </w:rPr>
        <w:t>AS „Latvenergo”;</w:t>
      </w:r>
    </w:p>
    <w:p w:rsidR="006721B8" w:rsidRPr="006721B8" w:rsidRDefault="006721B8" w:rsidP="006721B8">
      <w:pPr>
        <w:pStyle w:val="ListParagraph"/>
        <w:numPr>
          <w:ilvl w:val="2"/>
          <w:numId w:val="21"/>
        </w:numPr>
        <w:spacing w:line="360" w:lineRule="auto"/>
        <w:rPr>
          <w:rFonts w:ascii="Times New Roman" w:hAnsi="Times New Roman"/>
        </w:rPr>
      </w:pPr>
      <w:r w:rsidRPr="006721B8">
        <w:rPr>
          <w:rFonts w:ascii="Times New Roman" w:hAnsi="Times New Roman"/>
        </w:rPr>
        <w:t>AS „Latvenergo” meitas sabiedrība (AS „Sadales tīkls”, AS „Latvijas elektriskie tīkli”);</w:t>
      </w:r>
    </w:p>
    <w:p w:rsidR="006721B8" w:rsidRPr="006721B8" w:rsidRDefault="006721B8" w:rsidP="006721B8">
      <w:pPr>
        <w:pStyle w:val="ListParagraph"/>
        <w:numPr>
          <w:ilvl w:val="2"/>
          <w:numId w:val="21"/>
        </w:numPr>
        <w:spacing w:line="360" w:lineRule="auto"/>
        <w:rPr>
          <w:rFonts w:ascii="Times New Roman" w:hAnsi="Times New Roman"/>
        </w:rPr>
      </w:pPr>
      <w:r w:rsidRPr="006721B8">
        <w:rPr>
          <w:rFonts w:ascii="Times New Roman" w:hAnsi="Times New Roman"/>
        </w:rPr>
        <w:t xml:space="preserve">trešās personas; </w:t>
      </w:r>
    </w:p>
    <w:p w:rsidR="006721B8" w:rsidRPr="006721B8" w:rsidRDefault="006721B8" w:rsidP="006721B8">
      <w:pPr>
        <w:pStyle w:val="ListParagraph"/>
        <w:numPr>
          <w:ilvl w:val="2"/>
          <w:numId w:val="21"/>
        </w:numPr>
        <w:spacing w:line="360" w:lineRule="auto"/>
        <w:rPr>
          <w:rFonts w:ascii="Times New Roman" w:hAnsi="Times New Roman"/>
        </w:rPr>
      </w:pPr>
      <w:r w:rsidRPr="006721B8">
        <w:rPr>
          <w:rFonts w:ascii="Times New Roman" w:hAnsi="Times New Roman"/>
        </w:rPr>
        <w:t xml:space="preserve">dalītas piederības. </w:t>
      </w:r>
    </w:p>
    <w:p w:rsidR="006721B8" w:rsidRPr="006721B8" w:rsidRDefault="006721B8" w:rsidP="006721B8">
      <w:pPr>
        <w:pStyle w:val="ListParagraph"/>
        <w:spacing w:line="360" w:lineRule="auto"/>
        <w:ind w:left="360"/>
        <w:rPr>
          <w:rFonts w:ascii="Times New Roman" w:hAnsi="Times New Roman"/>
          <w:u w:val="single"/>
        </w:rPr>
      </w:pPr>
      <w:r w:rsidRPr="006721B8">
        <w:rPr>
          <w:rFonts w:ascii="Times New Roman" w:hAnsi="Times New Roman"/>
        </w:rPr>
        <w:t>3.3.</w:t>
      </w:r>
      <w:r w:rsidRPr="006721B8">
        <w:rPr>
          <w:rFonts w:ascii="Times New Roman" w:hAnsi="Times New Roman"/>
          <w:u w:val="single"/>
        </w:rPr>
        <w:t>Iedalījums pēc būvniecības veida:</w:t>
      </w:r>
    </w:p>
    <w:p w:rsidR="006721B8" w:rsidRPr="006721B8" w:rsidRDefault="006721B8" w:rsidP="006721B8">
      <w:pPr>
        <w:pStyle w:val="ListParagraph"/>
        <w:numPr>
          <w:ilvl w:val="2"/>
          <w:numId w:val="22"/>
        </w:numPr>
        <w:spacing w:line="360" w:lineRule="auto"/>
        <w:ind w:left="1418" w:hanging="709"/>
        <w:rPr>
          <w:rFonts w:ascii="Times New Roman" w:hAnsi="Times New Roman"/>
        </w:rPr>
      </w:pPr>
      <w:r w:rsidRPr="006721B8">
        <w:rPr>
          <w:rFonts w:ascii="Times New Roman" w:hAnsi="Times New Roman"/>
        </w:rPr>
        <w:t>AS „Latvenergo” būvju būvniecībai,  atjaunošanai/pārbūvei vai nojaukšanai;</w:t>
      </w:r>
    </w:p>
    <w:p w:rsidR="006721B8" w:rsidRPr="006721B8" w:rsidRDefault="006721B8" w:rsidP="006721B8">
      <w:pPr>
        <w:pStyle w:val="ListParagraph"/>
        <w:numPr>
          <w:ilvl w:val="2"/>
          <w:numId w:val="22"/>
        </w:numPr>
        <w:spacing w:line="360" w:lineRule="auto"/>
        <w:ind w:left="1418" w:hanging="709"/>
        <w:rPr>
          <w:rFonts w:ascii="Times New Roman" w:hAnsi="Times New Roman"/>
        </w:rPr>
      </w:pPr>
      <w:r w:rsidRPr="006721B8">
        <w:rPr>
          <w:rFonts w:ascii="Times New Roman" w:hAnsi="Times New Roman"/>
        </w:rPr>
        <w:t>AS „Latvenergo” meitas sabiedrību energoapgādes objektu būvniecībai, atjaunošanai/pārbūvei vai nojaukšanai;</w:t>
      </w:r>
    </w:p>
    <w:p w:rsidR="006721B8" w:rsidRPr="006721B8" w:rsidRDefault="006721B8" w:rsidP="006721B8">
      <w:pPr>
        <w:pStyle w:val="ListParagraph"/>
        <w:numPr>
          <w:ilvl w:val="2"/>
          <w:numId w:val="22"/>
        </w:numPr>
        <w:spacing w:line="360" w:lineRule="auto"/>
        <w:ind w:left="1418" w:hanging="709"/>
        <w:rPr>
          <w:rFonts w:ascii="Times New Roman" w:hAnsi="Times New Roman"/>
        </w:rPr>
      </w:pPr>
      <w:r w:rsidRPr="006721B8">
        <w:rPr>
          <w:rFonts w:ascii="Times New Roman" w:hAnsi="Times New Roman"/>
        </w:rPr>
        <w:t>trešo personu energoapgādes objektu būvniecībai, atjaunošanai/pārbūvei vai nojaukšanai;</w:t>
      </w:r>
    </w:p>
    <w:p w:rsidR="006721B8" w:rsidRPr="006721B8" w:rsidRDefault="006721B8" w:rsidP="006721B8">
      <w:pPr>
        <w:pStyle w:val="ListParagraph"/>
        <w:numPr>
          <w:ilvl w:val="2"/>
          <w:numId w:val="22"/>
        </w:numPr>
        <w:spacing w:line="360" w:lineRule="auto"/>
        <w:ind w:left="1418" w:hanging="709"/>
        <w:rPr>
          <w:rFonts w:ascii="Times New Roman" w:hAnsi="Times New Roman"/>
        </w:rPr>
      </w:pPr>
      <w:r w:rsidRPr="006721B8">
        <w:rPr>
          <w:rFonts w:ascii="Times New Roman" w:hAnsi="Times New Roman"/>
        </w:rPr>
        <w:lastRenderedPageBreak/>
        <w:t>trešo personu cita veida būvju  būvniecībai, atjaunošanai/pārbūvei vai nojaukšanai (piem. ūdensvadu, kanalizācijas, sakaru infrastruktūras objektu izvietošanai).</w:t>
      </w:r>
    </w:p>
    <w:p w:rsidR="006721B8" w:rsidRPr="006721B8" w:rsidRDefault="006721B8" w:rsidP="006721B8">
      <w:pPr>
        <w:pStyle w:val="ListParagraph"/>
        <w:spacing w:line="360" w:lineRule="auto"/>
        <w:rPr>
          <w:rFonts w:ascii="Times New Roman" w:hAnsi="Times New Roman"/>
        </w:rPr>
      </w:pPr>
    </w:p>
    <w:p w:rsidR="006721B8" w:rsidRPr="006721B8" w:rsidRDefault="006721B8" w:rsidP="006721B8">
      <w:pPr>
        <w:spacing w:line="360" w:lineRule="auto"/>
        <w:jc w:val="center"/>
        <w:rPr>
          <w:rFonts w:ascii="Times New Roman" w:hAnsi="Times New Roman"/>
          <w:b/>
        </w:rPr>
      </w:pPr>
      <w:r w:rsidRPr="006721B8">
        <w:rPr>
          <w:rFonts w:ascii="Times New Roman" w:hAnsi="Times New Roman"/>
        </w:rPr>
        <w:object w:dxaOrig="6469" w:dyaOrig="4142">
          <v:shape id="_x0000_i1026" type="#_x0000_t75" style="width:324.6pt;height:207pt" o:ole="">
            <v:imagedata r:id="rId10" o:title=""/>
          </v:shape>
          <o:OLEObject Type="Embed" ProgID="Visio.Drawing.11" ShapeID="_x0000_i1026" DrawAspect="Content" ObjectID="_1681192319" r:id="rId11"/>
        </w:object>
      </w:r>
    </w:p>
    <w:p w:rsidR="006721B8" w:rsidRPr="006721B8" w:rsidRDefault="006721B8" w:rsidP="006721B8">
      <w:pPr>
        <w:spacing w:line="360" w:lineRule="auto"/>
        <w:rPr>
          <w:rFonts w:ascii="Times New Roman" w:hAnsi="Times New Roman"/>
          <w:sz w:val="20"/>
          <w:szCs w:val="20"/>
        </w:rPr>
      </w:pPr>
      <w:r w:rsidRPr="006721B8">
        <w:rPr>
          <w:rFonts w:ascii="Times New Roman" w:hAnsi="Times New Roman"/>
          <w:sz w:val="20"/>
          <w:szCs w:val="20"/>
        </w:rPr>
        <w:t>2.shēma. Būvprojektu iedalījuma shēma.</w:t>
      </w:r>
    </w:p>
    <w:p w:rsidR="006721B8" w:rsidRPr="006721B8" w:rsidRDefault="006721B8" w:rsidP="006721B8">
      <w:pPr>
        <w:pStyle w:val="Heading1"/>
        <w:numPr>
          <w:ilvl w:val="0"/>
          <w:numId w:val="0"/>
        </w:numPr>
        <w:spacing w:before="0" w:after="0" w:line="360" w:lineRule="auto"/>
        <w:ind w:left="540"/>
        <w:jc w:val="both"/>
        <w:rPr>
          <w:rFonts w:ascii="Times New Roman" w:hAnsi="Times New Roman"/>
        </w:rPr>
      </w:pPr>
      <w:bookmarkStart w:id="11" w:name="_Toc430269430"/>
    </w:p>
    <w:p w:rsidR="006721B8" w:rsidRPr="006721B8" w:rsidRDefault="006721B8" w:rsidP="006721B8">
      <w:pPr>
        <w:pStyle w:val="Heading1"/>
        <w:numPr>
          <w:ilvl w:val="0"/>
          <w:numId w:val="22"/>
        </w:numPr>
        <w:spacing w:before="0" w:after="0" w:line="360" w:lineRule="auto"/>
        <w:jc w:val="both"/>
        <w:rPr>
          <w:rFonts w:ascii="Times New Roman" w:hAnsi="Times New Roman"/>
        </w:rPr>
      </w:pPr>
      <w:bookmarkStart w:id="12" w:name="_Toc430608290"/>
      <w:r w:rsidRPr="006721B8">
        <w:rPr>
          <w:rFonts w:ascii="Times New Roman" w:hAnsi="Times New Roman"/>
        </w:rPr>
        <w:t>Būvprojektu saskaņošana</w:t>
      </w:r>
      <w:bookmarkEnd w:id="11"/>
      <w:bookmarkEnd w:id="12"/>
    </w:p>
    <w:p w:rsidR="006721B8" w:rsidRPr="006721B8" w:rsidRDefault="006721B8" w:rsidP="006721B8">
      <w:pPr>
        <w:spacing w:line="360" w:lineRule="auto"/>
        <w:ind w:left="426" w:hanging="426"/>
        <w:rPr>
          <w:rFonts w:ascii="Times New Roman" w:hAnsi="Times New Roman"/>
        </w:rPr>
      </w:pPr>
      <w:r w:rsidRPr="006721B8">
        <w:rPr>
          <w:rFonts w:ascii="Times New Roman" w:hAnsi="Times New Roman"/>
        </w:rPr>
        <w:t xml:space="preserve">4.1. Būvprojekti, kas iesniegti AS „Latvenergo” saskaņošanai, tiek pieņemti AS „Latvenergo”. Pavadvēstule, ar kuru būvprojekts tiek iesniegts saskaņošanai,  reģistrē  Dokumentu pārvaldības funkcijas atbildīgais darbinieks Lietvedības dokumentu sistēmā un nodod izpildei </w:t>
      </w:r>
      <w:r w:rsidRPr="006721B8">
        <w:rPr>
          <w:rFonts w:ascii="Times New Roman" w:hAnsi="Times New Roman"/>
          <w:b/>
        </w:rPr>
        <w:t>NĪPF</w:t>
      </w:r>
      <w:r w:rsidRPr="006721B8">
        <w:rPr>
          <w:rFonts w:ascii="Times New Roman" w:hAnsi="Times New Roman"/>
        </w:rPr>
        <w:t>.</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Būvprojektu AS „Latvenergo” kā nekustamā īpašuma īpašnieks/valdītājs/ lietotājs izskata un saskaņo tikai pēc tam, kad Latvenergo koncerna sabiedrību atbildīgie darbinieki vai pilnvarotās personas savas kompetences ietvaros – attiecīgi elektroenerģijas pārvadē, elektroenerģijas sadalē, ITT, nekustamo īpašumu apsaimniekošanā ir izvērtējušas un apstiprinājušas Būvprojekta tehnisko risinājumu.</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Būvprojektu saskaņošanu AS „Latvenergo” nekustamā īpašuma īpašnieka/valdītāja/lietotāja vārdā veic tam pilnvarots AS „Latvenergo” darbinieks saskaņā ar NĪPF sagatavotu ziņojumu Lietvedības dokumentu sistēmā.</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 xml:space="preserve">Būvprojekta saskaņošanas ziņojums tiek sagatavots ne vēlāk kā 3 darba dienu laikā no Būvprojekta reģistrēšanas AS „Latvenergo” Lietvedības dokumentu sistēmā, ja Latvenergo koncerna sabiedrību atbildīgie darbinieki vai pilnvarotās personas ir izvērtējušas un apstiprinājušas Būvprojekta tehnisko risinājumu. </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lastRenderedPageBreak/>
        <w:t>Būvprojekta saskaņošanas ziņojums tiek adresēts Virziena direktoram/pilnvarotai personai un pēc reģistrācijas Lietvedības dokumentu sistēmā nodots rezolūcijai. Saskaņā ar Virziena direktora rezolūciju būvprojekta saskaņošanas ziņojums tiek nodots izpildei NĪPF.</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Ja Būvprojektā trūkst nepieciešamie saskaņojumi atbilstoši 4.2. punktam, tad par to 3 darba dienu laikā (no tā reģistrēšanas dienas) Būvprojekta iesniedzējs tiek informēts un ziņojuma sagatavošana tiek uzsākta tikai pēc iepriekšminēto nepilnību novēršanas. Būvprojekta iesniedzēja informēšana tiek fiksēta Būvprojektu saskaņošanas uzskaitē, kuru uztur NĪPF. Ja  1 mēneša laikā (no Būvprojekta iesniedzēja informēšanas dienas) nepieciešamie saskaņojumi nav iesniegti, tad AS „Latvenergo” rīcībā esošais Būvprojekts ar pavadvēstuli tiek nosūtīts iesniedzējam atpakaļ bez AS „Latvenergo” saskaņojuma.</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Būvprojektu saskaņošanas ziņojumā NĪPF iekļauj informāciju par:</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rPr>
        <w:t>pasūtītāju (projektējamās būves īpašnieku/lietotāju);</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rPr>
        <w:t>būves veidu un īsu aprakstu par projektā plānotajām aktivitātēm, kas ietekmē nekustamā īpašuma stāvokli un vērtību (jaunas būves būvniecību, esošās būves atjaunošanu/pārbūvi, nojaukšanu, apgrūtinājuma rašanos);</w:t>
      </w:r>
    </w:p>
    <w:p w:rsidR="006721B8" w:rsidRPr="006721B8" w:rsidRDefault="006721B8" w:rsidP="006721B8">
      <w:pPr>
        <w:pStyle w:val="ListParagraph"/>
        <w:numPr>
          <w:ilvl w:val="2"/>
          <w:numId w:val="20"/>
        </w:numPr>
        <w:spacing w:line="360" w:lineRule="auto"/>
        <w:ind w:left="1418"/>
        <w:rPr>
          <w:rFonts w:ascii="Times New Roman" w:hAnsi="Times New Roman"/>
        </w:rPr>
      </w:pPr>
      <w:r w:rsidRPr="006721B8">
        <w:rPr>
          <w:rFonts w:ascii="Times New Roman" w:hAnsi="Times New Roman"/>
        </w:rPr>
        <w:t xml:space="preserve">nekustamā īpašuma, </w:t>
      </w:r>
      <w:r w:rsidRPr="006721B8">
        <w:rPr>
          <w:rFonts w:ascii="Times New Roman" w:hAnsi="Times New Roman"/>
          <w:u w:val="single"/>
        </w:rPr>
        <w:t xml:space="preserve">uz ko attieksies saskaņojums, </w:t>
      </w:r>
      <w:r w:rsidRPr="006721B8">
        <w:rPr>
          <w:rFonts w:ascii="Times New Roman" w:hAnsi="Times New Roman"/>
        </w:rPr>
        <w:t xml:space="preserve"> piederību un  saskaņojuma veidu – īpašnieka (AS „Latvenergo”) vai lietotāja/valdītāja (Latvijas Republikas Ekonomikas ministrija) saskaņojums;</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i/>
        </w:rPr>
        <w:t>Latvenergo</w:t>
      </w:r>
      <w:r w:rsidRPr="006721B8">
        <w:rPr>
          <w:rFonts w:ascii="Times New Roman" w:hAnsi="Times New Roman"/>
        </w:rPr>
        <w:t xml:space="preserve"> koncerna sabiedrību Būvprojekta tehniskajiem saskaņojumiem;</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rPr>
        <w:t>nepieciešamību slēgt vienošanos ar būvniecības ierosinātāju par nekustamā īpašuma lietošanu un atlīdzības noteikšanu;</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rPr>
        <w:t xml:space="preserve">citu informāciju vai nosacījumus, ja tādi ir (piem., noslēgti pakalpojumu līgumi ar pasūtītāju u.c.). </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Būvprojekta saskaņošanas ziņojums netiek gatavots, ja tā ierosinātājs ir kāda no AS „Latvenergo” funkcijām, un ir pieņemts lēmums atbilstoši „Noteikumiem AS „Latvenergo” darbinieku tiesībām rīcībai ar uzņēmuma resursiem”. Šajā gadījumā, bez 4.2. punktā minētajiem tehniskajiem saskaņojumiem, uz  Būvprojekta jābūt arī ierosinātājas funkcijas par projektu atbildīgā darbinieka saskaņojumam.</w:t>
      </w:r>
    </w:p>
    <w:p w:rsidR="006721B8" w:rsidRPr="006721B8" w:rsidRDefault="006721B8" w:rsidP="006721B8">
      <w:pPr>
        <w:pStyle w:val="ListParagraph"/>
        <w:spacing w:line="360" w:lineRule="auto"/>
        <w:rPr>
          <w:rFonts w:ascii="Times New Roman" w:hAnsi="Times New Roman"/>
        </w:rPr>
      </w:pP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Būvprojekta saskaņojums nekustamā īpašuma īpašnieka/valdītāja/lietotāja vārdā tiek veikts, izdarot rakstveida atzīmi Būvprojekta tehniskajā dokumentācijā, norādot saskaņojuma veidu:</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rPr>
        <w:lastRenderedPageBreak/>
        <w:t>nekustamā īpašuma īpašnieka saskaņojums;</w:t>
      </w:r>
    </w:p>
    <w:p w:rsidR="006721B8" w:rsidRPr="006721B8" w:rsidRDefault="006721B8" w:rsidP="006721B8">
      <w:pPr>
        <w:pStyle w:val="ListParagraph"/>
        <w:numPr>
          <w:ilvl w:val="2"/>
          <w:numId w:val="20"/>
        </w:numPr>
        <w:spacing w:line="360" w:lineRule="auto"/>
        <w:ind w:left="1418" w:hanging="709"/>
        <w:rPr>
          <w:rFonts w:ascii="Times New Roman" w:hAnsi="Times New Roman"/>
        </w:rPr>
      </w:pPr>
      <w:r w:rsidRPr="006721B8">
        <w:rPr>
          <w:rFonts w:ascii="Times New Roman" w:hAnsi="Times New Roman"/>
        </w:rPr>
        <w:t>lietotāja/valdītāja (Latvijas Republikas Ekonomikas ministrijas vārdā) saskaņojums, klāt pievienojot pilnvarojuma kopiju.</w:t>
      </w:r>
    </w:p>
    <w:p w:rsidR="006721B8" w:rsidRPr="006721B8" w:rsidRDefault="006721B8" w:rsidP="006721B8">
      <w:pPr>
        <w:pStyle w:val="ListParagraph"/>
        <w:numPr>
          <w:ilvl w:val="1"/>
          <w:numId w:val="20"/>
        </w:numPr>
        <w:spacing w:line="360" w:lineRule="auto"/>
        <w:ind w:left="426" w:hanging="426"/>
        <w:rPr>
          <w:rFonts w:ascii="Times New Roman" w:hAnsi="Times New Roman"/>
        </w:rPr>
      </w:pPr>
      <w:r w:rsidRPr="006721B8">
        <w:rPr>
          <w:rFonts w:ascii="Times New Roman" w:hAnsi="Times New Roman"/>
        </w:rPr>
        <w:t>Ja Būvprojekts ir izstrādāts  AS „Latvenergo” īpašumā vai valdījumā esošā nekustamā īpašumā izvietota energoapgādes objekta atjaunošanai vai pārbūvei, tad tos nav nepieciešams saskaņot ar AS „Latvenergo” kā nekustamā īpašuma īpašnieku. Šajos gadījumos tiek piemērota Enerģētikas likuma 19.panta (1</w:t>
      </w:r>
      <w:r w:rsidRPr="006721B8">
        <w:rPr>
          <w:rFonts w:ascii="Times New Roman" w:hAnsi="Times New Roman"/>
          <w:vertAlign w:val="superscript"/>
        </w:rPr>
        <w:t>2</w:t>
      </w:r>
      <w:r w:rsidRPr="006721B8">
        <w:rPr>
          <w:rFonts w:ascii="Times New Roman" w:hAnsi="Times New Roman"/>
        </w:rPr>
        <w:t>) noteiktā norma, kas paredz, ka energoapgādes komersantam ir tiesības veikt jebkura sava objekta rekon</w:t>
      </w:r>
      <w:r w:rsidRPr="006721B8">
        <w:rPr>
          <w:rFonts w:ascii="Times New Roman" w:hAnsi="Times New Roman"/>
        </w:rPr>
        <w:softHyphen/>
        <w:t>strukciju vai modernizāciju, savlaicīgi par to informējot zemes īpašnieku.</w:t>
      </w:r>
    </w:p>
    <w:p w:rsidR="006721B8" w:rsidRPr="006721B8" w:rsidRDefault="006721B8" w:rsidP="006721B8">
      <w:pPr>
        <w:pStyle w:val="ListParagraph"/>
        <w:spacing w:line="360" w:lineRule="auto"/>
        <w:ind w:left="426"/>
        <w:rPr>
          <w:rFonts w:ascii="Times New Roman" w:hAnsi="Times New Roman"/>
          <w:b/>
        </w:rPr>
      </w:pPr>
    </w:p>
    <w:p w:rsidR="006721B8" w:rsidRPr="006721B8" w:rsidRDefault="006721B8" w:rsidP="006721B8">
      <w:pPr>
        <w:spacing w:line="360" w:lineRule="auto"/>
        <w:jc w:val="left"/>
        <w:rPr>
          <w:rFonts w:ascii="Times New Roman" w:hAnsi="Times New Roman"/>
          <w:sz w:val="20"/>
          <w:szCs w:val="20"/>
        </w:rPr>
      </w:pPr>
      <w:r w:rsidRPr="006721B8">
        <w:rPr>
          <w:rFonts w:ascii="Times New Roman" w:hAnsi="Times New Roman"/>
        </w:rPr>
        <w:object w:dxaOrig="10304" w:dyaOrig="6346">
          <v:shape id="_x0000_i1027" type="#_x0000_t75" style="width:462.6pt;height:285pt" o:ole="">
            <v:imagedata r:id="rId12" o:title=""/>
          </v:shape>
          <o:OLEObject Type="Embed" ProgID="Visio.Drawing.11" ShapeID="_x0000_i1027" DrawAspect="Content" ObjectID="_1681192320" r:id="rId13"/>
        </w:object>
      </w:r>
      <w:r w:rsidRPr="006721B8">
        <w:rPr>
          <w:rFonts w:ascii="Times New Roman" w:hAnsi="Times New Roman"/>
          <w:sz w:val="20"/>
          <w:szCs w:val="20"/>
        </w:rPr>
        <w:t>3 Būvprojektu saskaņošanas shēma.</w:t>
      </w:r>
    </w:p>
    <w:p w:rsidR="006721B8" w:rsidRPr="006721B8" w:rsidRDefault="006721B8" w:rsidP="006721B8">
      <w:pPr>
        <w:spacing w:line="360" w:lineRule="auto"/>
        <w:jc w:val="left"/>
        <w:rPr>
          <w:rFonts w:ascii="Times New Roman" w:hAnsi="Times New Roman"/>
          <w:b/>
        </w:rPr>
      </w:pPr>
    </w:p>
    <w:p w:rsidR="006721B8" w:rsidRPr="006721B8" w:rsidRDefault="006721B8" w:rsidP="006721B8">
      <w:pPr>
        <w:pStyle w:val="Heading1"/>
        <w:numPr>
          <w:ilvl w:val="0"/>
          <w:numId w:val="20"/>
        </w:numPr>
        <w:spacing w:before="0" w:after="0" w:line="360" w:lineRule="auto"/>
        <w:jc w:val="both"/>
        <w:rPr>
          <w:rFonts w:ascii="Times New Roman" w:hAnsi="Times New Roman"/>
        </w:rPr>
      </w:pPr>
      <w:bookmarkStart w:id="13" w:name="_Toc430269431"/>
      <w:bookmarkStart w:id="14" w:name="_Toc430608291"/>
      <w:r w:rsidRPr="006721B8">
        <w:rPr>
          <w:rFonts w:ascii="Times New Roman" w:hAnsi="Times New Roman"/>
        </w:rPr>
        <w:t>Īpašie nosacījumi</w:t>
      </w:r>
      <w:bookmarkEnd w:id="13"/>
      <w:bookmarkEnd w:id="14"/>
    </w:p>
    <w:p w:rsidR="006721B8" w:rsidRPr="006721B8" w:rsidRDefault="006721B8" w:rsidP="006721B8">
      <w:pPr>
        <w:pStyle w:val="ListParagraph"/>
        <w:spacing w:line="360" w:lineRule="auto"/>
        <w:ind w:left="0"/>
        <w:rPr>
          <w:rFonts w:ascii="Times New Roman" w:hAnsi="Times New Roman"/>
        </w:rPr>
      </w:pPr>
      <w:r w:rsidRPr="006721B8">
        <w:rPr>
          <w:rFonts w:ascii="Times New Roman" w:hAnsi="Times New Roman"/>
        </w:rPr>
        <w:t xml:space="preserve">5.1. Pirms Būvprojekta izstrādes, saskaņā ar normatīvajos aktos noteikto regulējumu (Būvniecības likums, Enerģētikas likums, Ministru kabineta 30.09.2014.  noteikumi Nr.573 „Elektroenerģijas ražošanas, pārvades un sadales būvju būvnoteikumi”, Ministru kabineta 19.08.2014. noteikumi Nr.500 „Vispārīgie būvnoteikumi”, u.c.), ja Latvenergo koncerna sabiedrību speciālisti izsniedz tehniskos noteikumus/ projektēšanas uzdevumu trešo personu vai </w:t>
      </w:r>
      <w:r w:rsidRPr="006721B8">
        <w:rPr>
          <w:rFonts w:ascii="Times New Roman" w:hAnsi="Times New Roman"/>
        </w:rPr>
        <w:lastRenderedPageBreak/>
        <w:t>dalītas piederības jaunu objektu projektēšanai un būvniecībai, ja paredzēts šķērsot AS „Latvenergo” īpašumu,  pasūtītājs/projektētājs tiek informēts, ka  AS „Latvenergo” nekustamo īpašumu lietošanas nosacījumi būs jāsaskaņo ar AS „Latvenergo” kā nekustamā īpašuma īpašnieku.</w:t>
      </w:r>
    </w:p>
    <w:p w:rsidR="006721B8" w:rsidRPr="006721B8" w:rsidRDefault="006721B8" w:rsidP="006721B8">
      <w:pPr>
        <w:rPr>
          <w:rFonts w:ascii="Times New Roman" w:hAnsi="Times New Roman"/>
        </w:rPr>
      </w:pPr>
    </w:p>
    <w:p w:rsidR="006721B8" w:rsidRPr="006721B8" w:rsidRDefault="006721B8" w:rsidP="006721B8">
      <w:pPr>
        <w:pStyle w:val="ListParagraph"/>
        <w:numPr>
          <w:ilvl w:val="1"/>
          <w:numId w:val="20"/>
        </w:numPr>
        <w:spacing w:line="360" w:lineRule="auto"/>
        <w:ind w:left="360"/>
        <w:rPr>
          <w:rFonts w:ascii="Times New Roman" w:hAnsi="Times New Roman"/>
        </w:rPr>
      </w:pPr>
      <w:r w:rsidRPr="006721B8">
        <w:rPr>
          <w:rFonts w:ascii="Times New Roman" w:hAnsi="Times New Roman"/>
        </w:rPr>
        <w:t xml:space="preserve"> Atbilstoši  „Publiskas personas finanšu līdzekļu un mantas izšķērdēšanas novēršanas likuma” 3.pantam  ar finanšu līdzekļiem un mantu jārīkojas lietderīgi. Tādējādi AS „Latvenergo” sava nekustamā īpašuma daļu projektējamās būves īpašniekam  jānodod lietošanā par maksu, izņemot minētā likuma 5</w:t>
      </w:r>
      <w:r w:rsidRPr="006721B8">
        <w:rPr>
          <w:rFonts w:ascii="Times New Roman" w:hAnsi="Times New Roman"/>
          <w:vertAlign w:val="superscript"/>
        </w:rPr>
        <w:t>1</w:t>
      </w:r>
      <w:r w:rsidRPr="006721B8">
        <w:rPr>
          <w:rFonts w:ascii="Times New Roman" w:hAnsi="Times New Roman"/>
        </w:rPr>
        <w:t>.panta (1) daļā norādīto, kad kapitālsabiedrības mantas nodošanu bezatlīdzības lietošanā var uzskatīt par lietderīgu - ja būves īpašnieks ir atvasināta publiska persona vai publiskas personas institūcija, cita kapitālsabiedrība vai privātpersona, kas pilda tai deleģētos valsts pārvaldes uzdevumus vai sniedz publiskas personas pakalpojumus.</w:t>
      </w:r>
    </w:p>
    <w:p w:rsidR="006721B8" w:rsidRPr="006721B8" w:rsidRDefault="006721B8" w:rsidP="006721B8">
      <w:pPr>
        <w:pStyle w:val="ListParagraph"/>
        <w:spacing w:line="360" w:lineRule="auto"/>
        <w:ind w:left="927"/>
        <w:rPr>
          <w:rFonts w:ascii="Times New Roman" w:hAnsi="Times New Roman"/>
        </w:rPr>
      </w:pPr>
    </w:p>
    <w:p w:rsidR="006721B8" w:rsidRPr="006721B8" w:rsidRDefault="006721B8" w:rsidP="006721B8">
      <w:pPr>
        <w:spacing w:line="360" w:lineRule="auto"/>
        <w:rPr>
          <w:rFonts w:ascii="Times New Roman" w:hAnsi="Times New Roman"/>
        </w:rPr>
      </w:pPr>
      <w:r w:rsidRPr="006721B8">
        <w:rPr>
          <w:rFonts w:ascii="Times New Roman" w:hAnsi="Times New Roman"/>
        </w:rPr>
        <w:t xml:space="preserve">5.3. Gadījumos, kad projektējamās būves īpašnieks ir: </w:t>
      </w:r>
    </w:p>
    <w:p w:rsidR="006721B8" w:rsidRPr="006721B8" w:rsidRDefault="006721B8" w:rsidP="006721B8">
      <w:pPr>
        <w:pStyle w:val="ListParagraph"/>
        <w:spacing w:line="360" w:lineRule="auto"/>
        <w:ind w:left="360" w:firstLine="349"/>
        <w:rPr>
          <w:rFonts w:ascii="Times New Roman" w:hAnsi="Times New Roman"/>
        </w:rPr>
      </w:pPr>
      <w:r w:rsidRPr="006721B8">
        <w:rPr>
          <w:rFonts w:ascii="Times New Roman" w:hAnsi="Times New Roman"/>
        </w:rPr>
        <w:t xml:space="preserve">5.3.1. trešās personas (fiziskas vai juridiskas personas, kuru objekti vai to izraisītās aizsargjoslas pēc Būvprojekta īstenošanas atradīsies AS „Latvenergo” īpašumā un nav noslēgts cita veida līgums ar AS „Latvenergo”, kura pakalpojumu kopumā iekļauta inženierbūvju (piem., sakaru konteineri, komunikāciju kabeļu u.tml.) izvietošana);  </w:t>
      </w:r>
    </w:p>
    <w:p w:rsidR="006721B8" w:rsidRPr="006721B8" w:rsidRDefault="006721B8" w:rsidP="006721B8">
      <w:pPr>
        <w:pStyle w:val="ListParagraph"/>
        <w:spacing w:line="360" w:lineRule="auto"/>
        <w:ind w:left="360" w:firstLine="349"/>
        <w:rPr>
          <w:rFonts w:ascii="Times New Roman" w:hAnsi="Times New Roman"/>
        </w:rPr>
      </w:pPr>
      <w:r w:rsidRPr="006721B8">
        <w:rPr>
          <w:rFonts w:ascii="Times New Roman" w:hAnsi="Times New Roman"/>
        </w:rPr>
        <w:t>5.3.2. dalītas piederības (piem. energoapgādes objekts līdz uzskaitei ir/būs meitas sabiedrības īpašumā, aiz uzskaites - trešās personas īpašumā);</w:t>
      </w:r>
    </w:p>
    <w:p w:rsidR="006721B8" w:rsidRPr="006721B8" w:rsidRDefault="006721B8" w:rsidP="006721B8">
      <w:pPr>
        <w:pStyle w:val="ListParagraph"/>
        <w:spacing w:line="360" w:lineRule="auto"/>
        <w:ind w:left="0"/>
        <w:rPr>
          <w:rFonts w:ascii="Times New Roman" w:hAnsi="Times New Roman"/>
        </w:rPr>
      </w:pPr>
      <w:r w:rsidRPr="006721B8">
        <w:rPr>
          <w:rFonts w:ascii="Times New Roman" w:hAnsi="Times New Roman"/>
        </w:rPr>
        <w:t xml:space="preserve">tiek izvērtēts, kādā apjomā tiek ietekmēta  AS „Latvenergo”  piederošā nekustamā īpašuma lietošana, tā vērtība, apgrūtinājumi un to ietekme uz pieguļošo teritoriju, pieejamība u.c. faktori. </w:t>
      </w:r>
    </w:p>
    <w:p w:rsidR="006721B8" w:rsidRPr="006721B8" w:rsidRDefault="006721B8" w:rsidP="006721B8">
      <w:pPr>
        <w:spacing w:line="360" w:lineRule="auto"/>
        <w:ind w:firstLine="426"/>
        <w:rPr>
          <w:rFonts w:ascii="Times New Roman" w:hAnsi="Times New Roman"/>
        </w:rPr>
      </w:pPr>
      <w:r w:rsidRPr="006721B8">
        <w:rPr>
          <w:rFonts w:ascii="Times New Roman" w:hAnsi="Times New Roman"/>
        </w:rPr>
        <w:t xml:space="preserve">5.4. Gadījumos, kad trešās personas būvē </w:t>
      </w:r>
      <w:r w:rsidRPr="006721B8">
        <w:rPr>
          <w:rFonts w:ascii="Times New Roman" w:hAnsi="Times New Roman"/>
          <w:u w:val="single"/>
        </w:rPr>
        <w:t>jaunas inženierbūves (izņemot energoapgādes objektus),</w:t>
      </w:r>
      <w:r w:rsidRPr="006721B8">
        <w:rPr>
          <w:rFonts w:ascii="Times New Roman" w:hAnsi="Times New Roman"/>
        </w:rPr>
        <w:t xml:space="preserve"> AS „Latvenergo” pirms Būvprojekta saskaņošanas slēdz atbilstošu vienošanos par Nekustamā īpašuma lietošanu, nosakot atlīdzību.  Aprēķinot atlīdzību pēc līdzības var tikt piemēroti citos normatīvajos aktos noteiktie  vai tiesu praksē atrodamie nosacījumi par vienreizēju taisnīgu atlīdzību nekustamā īpašuma īpašniekam, kas tiek noteikta ne mazāka kā 28 </w:t>
      </w:r>
      <w:r w:rsidRPr="006721B8">
        <w:rPr>
          <w:rFonts w:ascii="Times New Roman" w:hAnsi="Times New Roman"/>
          <w:i/>
        </w:rPr>
        <w:t>euro</w:t>
      </w:r>
      <w:r w:rsidRPr="006721B8">
        <w:rPr>
          <w:rFonts w:ascii="Times New Roman" w:hAnsi="Times New Roman"/>
        </w:rPr>
        <w:t xml:space="preserve"> par kopējo aprobežoto un/vai </w:t>
      </w:r>
      <w:r w:rsidRPr="006721B8">
        <w:rPr>
          <w:rFonts w:ascii="Times New Roman" w:hAnsi="Times New Roman"/>
          <w:i/>
        </w:rPr>
        <w:t>Latvenergo</w:t>
      </w:r>
      <w:r w:rsidRPr="006721B8">
        <w:rPr>
          <w:rFonts w:ascii="Times New Roman" w:hAnsi="Times New Roman"/>
        </w:rPr>
        <w:t xml:space="preserve"> koncerna komercdarbībā turpmāk neizmantojamo zemes platību (kur zemes platību aprēķina kvadrātmetros, noapaļojot līdz vienam kvadrātmetram). </w:t>
      </w:r>
    </w:p>
    <w:p w:rsidR="006721B8" w:rsidRPr="006721B8" w:rsidRDefault="006721B8" w:rsidP="006721B8">
      <w:pPr>
        <w:spacing w:line="360" w:lineRule="auto"/>
        <w:ind w:firstLine="567"/>
        <w:rPr>
          <w:rFonts w:ascii="Times New Roman" w:hAnsi="Times New Roman"/>
        </w:rPr>
      </w:pPr>
      <w:r w:rsidRPr="006721B8">
        <w:rPr>
          <w:rFonts w:ascii="Times New Roman" w:hAnsi="Times New Roman"/>
        </w:rPr>
        <w:lastRenderedPageBreak/>
        <w:t xml:space="preserve">5.5. Gadījumos, kad trešās personas būvē jaunus </w:t>
      </w:r>
      <w:r w:rsidRPr="006721B8">
        <w:rPr>
          <w:rFonts w:ascii="Times New Roman" w:hAnsi="Times New Roman"/>
          <w:u w:val="single"/>
        </w:rPr>
        <w:t>energoapgādes</w:t>
      </w:r>
      <w:r w:rsidRPr="006721B8">
        <w:rPr>
          <w:rFonts w:ascii="Times New Roman" w:hAnsi="Times New Roman"/>
        </w:rPr>
        <w:t xml:space="preserve"> objektus, pirms Būvprojekta saskaņošanas par  AS „Latvenergo” piederošā nekustamā īpašuma lietošanu tiek noteikta vienreizēja atlīdzība atbilstoši Ministru kabineta 25.07.2006. noteikumiem Nr.603 "Kārtība, kādā aprēķināma un izmaksājama atlīdzība par energoapgādes objekta ierīkošanai vai rekonstrukcijai nepieciešamā zemes īpašuma atsavināšanu vai lietošanas tiesību ierobežošanu".</w:t>
      </w:r>
    </w:p>
    <w:p w:rsidR="006721B8" w:rsidRPr="006721B8" w:rsidRDefault="006721B8" w:rsidP="006721B8">
      <w:pPr>
        <w:spacing w:line="360" w:lineRule="auto"/>
        <w:ind w:firstLine="567"/>
        <w:rPr>
          <w:rFonts w:ascii="Times New Roman" w:hAnsi="Times New Roman"/>
        </w:rPr>
      </w:pPr>
      <w:bookmarkStart w:id="15" w:name="p2"/>
      <w:bookmarkEnd w:id="15"/>
      <w:r w:rsidRPr="006721B8">
        <w:rPr>
          <w:rFonts w:ascii="Times New Roman" w:hAnsi="Times New Roman"/>
        </w:rPr>
        <w:t xml:space="preserve">Saskaņojot būvprojektus, kas izstrādāti trešās personas elektroietaišu atļautās slodzes palielināšanai un atbilstoši AS </w:t>
      </w:r>
      <w:r w:rsidRPr="006721B8">
        <w:rPr>
          <w:rFonts w:ascii="Times New Roman" w:hAnsi="Times New Roman"/>
          <w:color w:val="000000"/>
          <w:lang w:eastAsia="lv-LV"/>
        </w:rPr>
        <w:t xml:space="preserve">„Sadales tīkls” </w:t>
      </w:r>
      <w:r w:rsidRPr="006721B8">
        <w:rPr>
          <w:rFonts w:ascii="Times New Roman" w:hAnsi="Times New Roman"/>
        </w:rPr>
        <w:t>„</w:t>
      </w:r>
      <w:r w:rsidRPr="006721B8">
        <w:rPr>
          <w:rFonts w:ascii="Times New Roman" w:hAnsi="Times New Roman"/>
          <w:color w:val="000000"/>
          <w:lang w:eastAsia="lv-LV"/>
        </w:rPr>
        <w:t xml:space="preserve">Elektroietaišu ierīkošanas Tehnisko noteikumu” prasībām un tās komercdarbības interesēs tiek pārcelta uzskaites sadalne  un novietota ārpus trešajai personai piederošā energoapgādes objekta teritorijas, nosakot elektroietaišu piederības un apkalpes robežu uz elektrolīnijas pievienojuma kontaktiem AS „Sadales tīkls” uzskaites sadalnē (attiecīgi aizstājot veco AS „Sadales tīkls” elektrolīnijas posmu) </w:t>
      </w:r>
      <w:r w:rsidRPr="006721B8">
        <w:rPr>
          <w:rFonts w:ascii="Times New Roman" w:hAnsi="Times New Roman"/>
        </w:rPr>
        <w:t>par  attiecīgi apgrūtināto Nekustamo īpašumu atlīdzība netiek noteikta.</w:t>
      </w:r>
      <w:r w:rsidRPr="006721B8">
        <w:rPr>
          <w:rFonts w:ascii="Times New Roman" w:hAnsi="Times New Roman"/>
          <w:color w:val="000000"/>
          <w:lang w:eastAsia="lv-LV"/>
        </w:rPr>
        <w:t xml:space="preserve"> </w:t>
      </w:r>
    </w:p>
    <w:p w:rsidR="006721B8" w:rsidRPr="006721B8" w:rsidRDefault="006721B8" w:rsidP="006721B8">
      <w:pPr>
        <w:spacing w:line="360" w:lineRule="auto"/>
        <w:ind w:firstLine="567"/>
        <w:rPr>
          <w:rFonts w:ascii="Times New Roman" w:hAnsi="Times New Roman"/>
        </w:rPr>
      </w:pPr>
      <w:r w:rsidRPr="006721B8">
        <w:rPr>
          <w:rFonts w:ascii="Times New Roman" w:hAnsi="Times New Roman"/>
        </w:rPr>
        <w:t xml:space="preserve">5.6. Par atlīdzības apmēru tiek pieņemts lēmums atbilstoši „Noteikumiem AS „Latvenergo” darbinieku tiesībām rīcībai ar uzņēmuma resursiem” un tiem pakārtotajiem dokumentiem.  </w:t>
      </w:r>
    </w:p>
    <w:p w:rsidR="006721B8" w:rsidRPr="006721B8" w:rsidRDefault="006721B8" w:rsidP="006721B8">
      <w:pPr>
        <w:spacing w:line="360" w:lineRule="auto"/>
        <w:ind w:firstLine="567"/>
        <w:rPr>
          <w:rFonts w:ascii="Times New Roman" w:hAnsi="Times New Roman"/>
        </w:rPr>
      </w:pPr>
    </w:p>
    <w:p w:rsidR="006721B8" w:rsidRPr="006721B8" w:rsidRDefault="006721B8" w:rsidP="006721B8">
      <w:pPr>
        <w:pStyle w:val="Heading1"/>
        <w:numPr>
          <w:ilvl w:val="0"/>
          <w:numId w:val="20"/>
        </w:numPr>
        <w:spacing w:before="0" w:after="0" w:line="360" w:lineRule="auto"/>
        <w:jc w:val="both"/>
        <w:rPr>
          <w:rFonts w:ascii="Times New Roman" w:hAnsi="Times New Roman"/>
        </w:rPr>
      </w:pPr>
      <w:bookmarkStart w:id="16" w:name="_Toc430269432"/>
      <w:bookmarkStart w:id="17" w:name="_Toc430608292"/>
      <w:r w:rsidRPr="006721B8">
        <w:rPr>
          <w:rFonts w:ascii="Times New Roman" w:hAnsi="Times New Roman"/>
        </w:rPr>
        <w:t>Atbildība</w:t>
      </w:r>
      <w:bookmarkEnd w:id="16"/>
      <w:bookmarkEnd w:id="17"/>
    </w:p>
    <w:p w:rsidR="006721B8" w:rsidRPr="006721B8" w:rsidRDefault="006721B8" w:rsidP="006721B8">
      <w:pPr>
        <w:pStyle w:val="ListParagraph"/>
        <w:jc w:val="center"/>
        <w:rPr>
          <w:rFonts w:ascii="Times New Roman" w:hAnsi="Times New Roman"/>
          <w:b/>
        </w:rPr>
      </w:pPr>
    </w:p>
    <w:p w:rsidR="006721B8" w:rsidRPr="006721B8" w:rsidRDefault="006721B8" w:rsidP="006721B8">
      <w:pPr>
        <w:pStyle w:val="ListParagraph"/>
        <w:ind w:left="0" w:firstLine="720"/>
        <w:rPr>
          <w:rFonts w:ascii="Times New Roman" w:hAnsi="Times New Roman"/>
          <w:b/>
        </w:rPr>
      </w:pPr>
      <w:r w:rsidRPr="006721B8">
        <w:rPr>
          <w:rFonts w:ascii="Times New Roman" w:hAnsi="Times New Roman"/>
        </w:rPr>
        <w:t>Par šīs Kārtības izpildi un aktualizāciju atbildīga ir AS „Latvenergo” Nekustamo īpašumu pārvaldības funkcija.</w:t>
      </w:r>
    </w:p>
    <w:p w:rsidR="006721B8" w:rsidRPr="006721B8" w:rsidRDefault="006721B8" w:rsidP="006721B8">
      <w:pPr>
        <w:pStyle w:val="ListParagraph"/>
        <w:jc w:val="left"/>
        <w:rPr>
          <w:rFonts w:ascii="Times New Roman" w:hAnsi="Times New Roman"/>
          <w:b/>
        </w:rPr>
      </w:pPr>
    </w:p>
    <w:p w:rsidR="006721B8" w:rsidRPr="006721B8" w:rsidRDefault="006721B8" w:rsidP="006721B8">
      <w:pPr>
        <w:spacing w:line="360" w:lineRule="auto"/>
        <w:ind w:firstLine="567"/>
        <w:jc w:val="center"/>
        <w:rPr>
          <w:rFonts w:ascii="Times New Roman" w:hAnsi="Times New Roman"/>
        </w:rPr>
      </w:pPr>
      <w:r w:rsidRPr="006721B8">
        <w:rPr>
          <w:rFonts w:ascii="Times New Roman" w:hAnsi="Times New Roman"/>
        </w:rPr>
        <w:t>***</w:t>
      </w:r>
    </w:p>
    <w:p w:rsidR="006721B8" w:rsidRPr="006721B8" w:rsidRDefault="006721B8" w:rsidP="006721B8">
      <w:pPr>
        <w:spacing w:line="360" w:lineRule="auto"/>
        <w:ind w:firstLine="567"/>
        <w:rPr>
          <w:rFonts w:ascii="Times New Roman" w:hAnsi="Times New Roman"/>
        </w:rPr>
      </w:pPr>
    </w:p>
    <w:p w:rsidR="00275477" w:rsidRPr="006721B8" w:rsidRDefault="00275477" w:rsidP="006721B8">
      <w:pPr>
        <w:rPr>
          <w:rFonts w:ascii="Times New Roman" w:hAnsi="Times New Roman"/>
        </w:rPr>
      </w:pPr>
    </w:p>
    <w:sectPr w:rsidR="00275477" w:rsidRPr="006721B8">
      <w:headerReference w:type="default" r:id="rId14"/>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48" w:rsidRDefault="00FF0F48">
      <w:r>
        <w:separator/>
      </w:r>
    </w:p>
  </w:endnote>
  <w:endnote w:type="continuationSeparator" w:id="0">
    <w:p w:rsidR="00FF0F48" w:rsidRDefault="00F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48" w:rsidRDefault="00FF0F48">
      <w:r>
        <w:separator/>
      </w:r>
    </w:p>
  </w:footnote>
  <w:footnote w:type="continuationSeparator" w:id="0">
    <w:p w:rsidR="00FF0F48" w:rsidRDefault="00FF0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0"/>
      <w:gridCol w:w="1080"/>
      <w:gridCol w:w="3840"/>
      <w:gridCol w:w="972"/>
      <w:gridCol w:w="1080"/>
      <w:gridCol w:w="960"/>
    </w:tblGrid>
    <w:tr w:rsidR="00275477" w:rsidRPr="004C10B6" w:rsidTr="00F42D08">
      <w:trPr>
        <w:cantSplit/>
      </w:trPr>
      <w:tc>
        <w:tcPr>
          <w:tcW w:w="3000" w:type="dxa"/>
          <w:gridSpan w:val="2"/>
          <w:tcBorders>
            <w:top w:val="single" w:sz="4" w:space="0" w:color="auto"/>
            <w:bottom w:val="single" w:sz="4" w:space="0" w:color="auto"/>
            <w:right w:val="single" w:sz="4" w:space="0" w:color="auto"/>
          </w:tcBorders>
        </w:tcPr>
        <w:p w:rsidR="00275477" w:rsidRPr="004C10B6" w:rsidRDefault="00111BB1">
          <w:pPr>
            <w:pStyle w:val="Header"/>
            <w:jc w:val="left"/>
            <w:rPr>
              <w:rFonts w:ascii="Times New Roman" w:hAnsi="Times New Roman"/>
              <w:sz w:val="14"/>
            </w:rPr>
          </w:pPr>
          <w:r>
            <w:rPr>
              <w:rFonts w:ascii="Times New Roman" w:hAnsi="Times New Roman"/>
              <w:noProof/>
              <w:sz w:val="14"/>
              <w:lang w:eastAsia="lv-LV"/>
            </w:rPr>
            <w:drawing>
              <wp:inline distT="0" distB="0" distL="0" distR="0">
                <wp:extent cx="1988820" cy="266700"/>
                <wp:effectExtent l="0" t="0" r="0" b="0"/>
                <wp:docPr id="4" name="Picture 4" descr="Latvenergo_ar_baltu_laukum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venergo_ar_baltu_laukum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266700"/>
                        </a:xfrm>
                        <a:prstGeom prst="rect">
                          <a:avLst/>
                        </a:prstGeom>
                        <a:noFill/>
                        <a:ln>
                          <a:noFill/>
                        </a:ln>
                      </pic:spPr>
                    </pic:pic>
                  </a:graphicData>
                </a:graphic>
              </wp:inline>
            </w:drawing>
          </w:r>
        </w:p>
        <w:p w:rsidR="00275477" w:rsidRPr="004C10B6" w:rsidRDefault="00275477">
          <w:pPr>
            <w:pStyle w:val="Header"/>
            <w:jc w:val="left"/>
            <w:rPr>
              <w:rFonts w:ascii="Times New Roman" w:hAnsi="Times New Roman"/>
              <w:sz w:val="16"/>
            </w:rPr>
          </w:pPr>
          <w:r w:rsidRPr="004C10B6">
            <w:rPr>
              <w:rFonts w:ascii="Times New Roman" w:hAnsi="Times New Roman"/>
              <w:sz w:val="16"/>
            </w:rPr>
            <w:t>Akciju sabiedrība Latvenergo</w:t>
          </w:r>
        </w:p>
      </w:tc>
      <w:tc>
        <w:tcPr>
          <w:tcW w:w="6852" w:type="dxa"/>
          <w:gridSpan w:val="4"/>
          <w:tcBorders>
            <w:top w:val="single" w:sz="4" w:space="0" w:color="auto"/>
            <w:left w:val="single" w:sz="4" w:space="0" w:color="auto"/>
            <w:bottom w:val="single" w:sz="4" w:space="0" w:color="auto"/>
          </w:tcBorders>
        </w:tcPr>
        <w:p w:rsidR="00275477" w:rsidRPr="004C10B6" w:rsidRDefault="00275477">
          <w:pPr>
            <w:pStyle w:val="Header"/>
            <w:tabs>
              <w:tab w:val="clear" w:pos="4320"/>
            </w:tabs>
            <w:ind w:left="2412" w:hanging="2520"/>
            <w:jc w:val="left"/>
            <w:rPr>
              <w:rFonts w:ascii="Times New Roman" w:hAnsi="Times New Roman"/>
              <w:b/>
              <w:bCs/>
              <w:sz w:val="22"/>
            </w:rPr>
          </w:pPr>
          <w:r w:rsidRPr="004C10B6">
            <w:rPr>
              <w:rFonts w:ascii="Times New Roman" w:hAnsi="Times New Roman"/>
            </w:rPr>
            <w:t xml:space="preserve">   </w:t>
          </w:r>
          <w:r w:rsidRPr="004C10B6">
            <w:rPr>
              <w:rFonts w:ascii="Times New Roman" w:hAnsi="Times New Roman"/>
              <w:sz w:val="20"/>
            </w:rPr>
            <w:t xml:space="preserve"> </w:t>
          </w:r>
          <w:bookmarkStart w:id="18" w:name="DocTypeName_2"/>
          <w:bookmarkEnd w:id="18"/>
          <w:r w:rsidR="003554F4">
            <w:rPr>
              <w:rFonts w:ascii="Times New Roman" w:hAnsi="Times New Roman"/>
              <w:sz w:val="20"/>
            </w:rPr>
            <w:t>Kārtība</w:t>
          </w:r>
          <w:bookmarkStart w:id="19" w:name="DocTypeName_2_"/>
          <w:bookmarkEnd w:id="19"/>
          <w:r w:rsidRPr="004C10B6">
            <w:rPr>
              <w:rFonts w:ascii="Times New Roman" w:hAnsi="Times New Roman"/>
              <w:sz w:val="20"/>
            </w:rPr>
            <w:t xml:space="preserve">  - </w:t>
          </w:r>
          <w:r w:rsidRPr="004C10B6">
            <w:rPr>
              <w:rFonts w:ascii="Times New Roman" w:hAnsi="Times New Roman"/>
            </w:rPr>
            <w:t xml:space="preserve"> </w:t>
          </w:r>
          <w:r w:rsidRPr="004C10B6">
            <w:rPr>
              <w:rFonts w:ascii="Times New Roman" w:hAnsi="Times New Roman"/>
              <w:b/>
              <w:bCs/>
              <w:sz w:val="22"/>
            </w:rPr>
            <w:t xml:space="preserve"> </w:t>
          </w:r>
          <w:bookmarkStart w:id="20" w:name="DocName_2"/>
          <w:bookmarkEnd w:id="20"/>
          <w:r w:rsidR="003554F4">
            <w:rPr>
              <w:rFonts w:ascii="Times New Roman" w:hAnsi="Times New Roman"/>
              <w:b/>
              <w:bCs/>
              <w:sz w:val="22"/>
            </w:rPr>
            <w:t xml:space="preserve">Par būvprojektu saskaņošanu AS „Latvenergo” </w:t>
          </w:r>
          <w:bookmarkStart w:id="21" w:name="DocName_2_"/>
          <w:bookmarkEnd w:id="21"/>
        </w:p>
        <w:p w:rsidR="00275477" w:rsidRPr="004C10B6" w:rsidRDefault="00275477">
          <w:pPr>
            <w:ind w:left="132"/>
            <w:rPr>
              <w:rFonts w:ascii="Times New Roman" w:hAnsi="Times New Roman"/>
              <w:sz w:val="20"/>
            </w:rPr>
          </w:pPr>
          <w:r w:rsidRPr="004C10B6">
            <w:rPr>
              <w:rFonts w:ascii="Times New Roman" w:hAnsi="Times New Roman"/>
              <w:sz w:val="20"/>
            </w:rPr>
            <w:t xml:space="preserve">   </w:t>
          </w:r>
        </w:p>
      </w:tc>
    </w:tr>
    <w:tr w:rsidR="00275477" w:rsidRPr="004C10B6" w:rsidTr="00F42D08">
      <w:trPr>
        <w:cantSplit/>
      </w:trPr>
      <w:tc>
        <w:tcPr>
          <w:tcW w:w="1920"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tabs>
              <w:tab w:val="clear" w:pos="4320"/>
              <w:tab w:val="clear" w:pos="8640"/>
              <w:tab w:val="left" w:pos="240"/>
            </w:tabs>
            <w:spacing w:before="60"/>
            <w:jc w:val="left"/>
            <w:rPr>
              <w:rFonts w:ascii="Times New Roman" w:hAnsi="Times New Roman"/>
              <w:sz w:val="16"/>
            </w:rPr>
          </w:pPr>
          <w:r w:rsidRPr="004C10B6">
            <w:rPr>
              <w:rFonts w:ascii="Times New Roman" w:hAnsi="Times New Roman"/>
              <w:sz w:val="16"/>
            </w:rPr>
            <w:t xml:space="preserve">Numurs: </w:t>
          </w:r>
          <w:r w:rsidRPr="004C10B6">
            <w:rPr>
              <w:rFonts w:ascii="Times New Roman" w:hAnsi="Times New Roman"/>
              <w:sz w:val="16"/>
            </w:rPr>
            <w:tab/>
          </w:r>
          <w:bookmarkStart w:id="22" w:name="DocNum_2"/>
          <w:bookmarkEnd w:id="22"/>
          <w:r w:rsidR="003554F4">
            <w:rPr>
              <w:rFonts w:ascii="Times New Roman" w:hAnsi="Times New Roman"/>
              <w:sz w:val="16"/>
            </w:rPr>
            <w:t>K264</w:t>
          </w:r>
          <w:bookmarkStart w:id="23" w:name="DocNum_2_"/>
          <w:bookmarkEnd w:id="23"/>
        </w:p>
        <w:p w:rsidR="00275477" w:rsidRPr="004C10B6"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Redakcija: </w:t>
          </w:r>
          <w:bookmarkStart w:id="24" w:name="DocVers_2"/>
          <w:bookmarkEnd w:id="24"/>
          <w:r w:rsidR="003554F4">
            <w:rPr>
              <w:rFonts w:ascii="Times New Roman" w:hAnsi="Times New Roman"/>
              <w:sz w:val="16"/>
            </w:rPr>
            <w:t>00</w:t>
          </w:r>
          <w:bookmarkStart w:id="25" w:name="DocVers_2_"/>
          <w:bookmarkEnd w:id="25"/>
        </w:p>
        <w:p w:rsidR="00275477" w:rsidRPr="004C10B6" w:rsidRDefault="00275477">
          <w:pPr>
            <w:pStyle w:val="Header"/>
            <w:tabs>
              <w:tab w:val="clear" w:pos="4320"/>
              <w:tab w:val="clear" w:pos="8640"/>
              <w:tab w:val="left" w:pos="240"/>
            </w:tabs>
            <w:spacing w:before="60"/>
            <w:jc w:val="left"/>
            <w:rPr>
              <w:rFonts w:ascii="Times New Roman" w:hAnsi="Times New Roman"/>
              <w:sz w:val="16"/>
            </w:rPr>
          </w:pPr>
          <w:r w:rsidRPr="004C10B6">
            <w:rPr>
              <w:rFonts w:ascii="Times New Roman" w:hAnsi="Times New Roman"/>
              <w:sz w:val="16"/>
            </w:rPr>
            <w:t xml:space="preserve">Apstiprināta: </w:t>
          </w:r>
          <w:bookmarkStart w:id="26" w:name="DocApprovalDate"/>
          <w:bookmarkEnd w:id="26"/>
          <w:r w:rsidR="003554F4">
            <w:rPr>
              <w:rFonts w:ascii="Times New Roman" w:hAnsi="Times New Roman"/>
              <w:sz w:val="16"/>
            </w:rPr>
            <w:t>22.09.2015</w:t>
          </w:r>
          <w:bookmarkStart w:id="27" w:name="DocApprovalDate_"/>
          <w:bookmarkEnd w:id="27"/>
        </w:p>
      </w:tc>
      <w:tc>
        <w:tcPr>
          <w:tcW w:w="4920" w:type="dxa"/>
          <w:gridSpan w:val="2"/>
          <w:tcBorders>
            <w:top w:val="single" w:sz="4" w:space="0" w:color="auto"/>
            <w:left w:val="single" w:sz="4" w:space="0" w:color="auto"/>
            <w:bottom w:val="single" w:sz="4" w:space="0" w:color="auto"/>
            <w:right w:val="single" w:sz="4" w:space="0" w:color="auto"/>
          </w:tcBorders>
        </w:tcPr>
        <w:p w:rsidR="00275477"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Izstrādāja: </w:t>
          </w:r>
          <w:bookmarkStart w:id="28" w:name="Author"/>
          <w:bookmarkEnd w:id="28"/>
          <w:r w:rsidR="003554F4">
            <w:rPr>
              <w:rFonts w:ascii="Times New Roman" w:hAnsi="Times New Roman"/>
              <w:sz w:val="16"/>
            </w:rPr>
            <w:t>Īpašumu uzskaites un reģistrācijas vadītājs, Līga Levāne</w:t>
          </w:r>
          <w:bookmarkStart w:id="29" w:name="Author_"/>
          <w:bookmarkEnd w:id="29"/>
        </w:p>
        <w:p w:rsidR="0016549B" w:rsidRPr="004C10B6" w:rsidRDefault="0016549B">
          <w:pPr>
            <w:pStyle w:val="Header"/>
            <w:tabs>
              <w:tab w:val="clear" w:pos="4320"/>
              <w:tab w:val="clear" w:pos="8640"/>
            </w:tabs>
            <w:spacing w:before="60"/>
            <w:jc w:val="left"/>
            <w:rPr>
              <w:rFonts w:ascii="Times New Roman" w:hAnsi="Times New Roman"/>
              <w:sz w:val="16"/>
            </w:rPr>
          </w:pPr>
          <w:r>
            <w:rPr>
              <w:rFonts w:ascii="Times New Roman" w:hAnsi="Times New Roman"/>
              <w:sz w:val="16"/>
            </w:rPr>
            <w:t xml:space="preserve">Apstiprināja: </w:t>
          </w:r>
          <w:bookmarkStart w:id="30" w:name="shortApprover"/>
          <w:bookmarkEnd w:id="30"/>
          <w:r w:rsidR="003554F4">
            <w:rPr>
              <w:rFonts w:ascii="Times New Roman" w:hAnsi="Times New Roman"/>
              <w:sz w:val="16"/>
            </w:rPr>
            <w:t>Administratīvais direktors, Arnis Kurgs, 2015. gada 22. septembrī</w:t>
          </w:r>
          <w:bookmarkStart w:id="31" w:name="shortApprover_"/>
          <w:bookmarkEnd w:id="31"/>
          <w:r>
            <w:rPr>
              <w:rFonts w:ascii="Times New Roman" w:hAnsi="Times New Roman"/>
              <w:sz w:val="16"/>
            </w:rPr>
            <w:t xml:space="preserve"> </w:t>
          </w:r>
        </w:p>
      </w:tc>
      <w:tc>
        <w:tcPr>
          <w:tcW w:w="972"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Spēkā no: </w:t>
          </w:r>
          <w:bookmarkStart w:id="32" w:name="StartDate_2"/>
          <w:bookmarkEnd w:id="32"/>
          <w:r w:rsidR="003554F4">
            <w:rPr>
              <w:rFonts w:ascii="Times New Roman" w:hAnsi="Times New Roman"/>
              <w:sz w:val="16"/>
            </w:rPr>
            <w:t>22.09.2015</w:t>
          </w:r>
          <w:bookmarkStart w:id="33" w:name="StartDate_2_"/>
          <w:bookmarkEnd w:id="33"/>
        </w:p>
      </w:tc>
      <w:tc>
        <w:tcPr>
          <w:tcW w:w="1080"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tabs>
              <w:tab w:val="clear" w:pos="4320"/>
              <w:tab w:val="clear" w:pos="8640"/>
            </w:tabs>
            <w:spacing w:before="60"/>
            <w:jc w:val="left"/>
            <w:rPr>
              <w:rFonts w:ascii="Times New Roman" w:hAnsi="Times New Roman"/>
              <w:sz w:val="16"/>
            </w:rPr>
          </w:pPr>
          <w:r w:rsidRPr="004C10B6">
            <w:rPr>
              <w:rFonts w:ascii="Times New Roman" w:hAnsi="Times New Roman"/>
              <w:sz w:val="16"/>
            </w:rPr>
            <w:t xml:space="preserve">Spēkā līdz: </w:t>
          </w:r>
          <w:bookmarkStart w:id="34" w:name="ControlDate_2"/>
          <w:bookmarkEnd w:id="34"/>
          <w:r w:rsidR="003554F4">
            <w:rPr>
              <w:rFonts w:ascii="Times New Roman" w:hAnsi="Times New Roman"/>
              <w:sz w:val="16"/>
            </w:rPr>
            <w:t xml:space="preserve"> </w:t>
          </w:r>
          <w:bookmarkStart w:id="35" w:name="ControlDate_2_"/>
          <w:bookmarkEnd w:id="35"/>
        </w:p>
      </w:tc>
      <w:tc>
        <w:tcPr>
          <w:tcW w:w="960" w:type="dxa"/>
          <w:tcBorders>
            <w:top w:val="single" w:sz="4" w:space="0" w:color="auto"/>
            <w:left w:val="single" w:sz="4" w:space="0" w:color="auto"/>
            <w:bottom w:val="single" w:sz="4" w:space="0" w:color="auto"/>
            <w:right w:val="single" w:sz="4" w:space="0" w:color="auto"/>
          </w:tcBorders>
        </w:tcPr>
        <w:p w:rsidR="00275477" w:rsidRPr="004C10B6" w:rsidRDefault="00275477">
          <w:pPr>
            <w:pStyle w:val="Header"/>
            <w:spacing w:before="60"/>
            <w:jc w:val="right"/>
            <w:rPr>
              <w:rFonts w:ascii="Times New Roman" w:hAnsi="Times New Roman"/>
              <w:sz w:val="16"/>
            </w:rPr>
          </w:pPr>
          <w:r w:rsidRPr="004C10B6">
            <w:rPr>
              <w:rFonts w:ascii="Times New Roman" w:hAnsi="Times New Roman"/>
              <w:sz w:val="16"/>
            </w:rPr>
            <w:t xml:space="preserve">Lapa </w:t>
          </w:r>
          <w:r w:rsidRPr="004C10B6">
            <w:rPr>
              <w:rStyle w:val="PageNumber"/>
              <w:rFonts w:ascii="Times New Roman" w:hAnsi="Times New Roman"/>
              <w:sz w:val="16"/>
            </w:rPr>
            <w:fldChar w:fldCharType="begin"/>
          </w:r>
          <w:r w:rsidRPr="004C10B6">
            <w:rPr>
              <w:rStyle w:val="PageNumber"/>
              <w:rFonts w:ascii="Times New Roman" w:hAnsi="Times New Roman"/>
              <w:sz w:val="16"/>
            </w:rPr>
            <w:instrText xml:space="preserve"> PAGE </w:instrText>
          </w:r>
          <w:r w:rsidRPr="004C10B6">
            <w:rPr>
              <w:rStyle w:val="PageNumber"/>
              <w:rFonts w:ascii="Times New Roman" w:hAnsi="Times New Roman"/>
              <w:sz w:val="16"/>
            </w:rPr>
            <w:fldChar w:fldCharType="separate"/>
          </w:r>
          <w:r w:rsidR="00111BB1">
            <w:rPr>
              <w:rStyle w:val="PageNumber"/>
              <w:rFonts w:ascii="Times New Roman" w:hAnsi="Times New Roman"/>
              <w:noProof/>
              <w:sz w:val="16"/>
            </w:rPr>
            <w:t>2</w:t>
          </w:r>
          <w:r w:rsidRPr="004C10B6">
            <w:rPr>
              <w:rStyle w:val="PageNumber"/>
              <w:rFonts w:ascii="Times New Roman" w:hAnsi="Times New Roman"/>
              <w:sz w:val="16"/>
            </w:rPr>
            <w:fldChar w:fldCharType="end"/>
          </w:r>
          <w:r w:rsidRPr="004C10B6">
            <w:rPr>
              <w:rStyle w:val="PageNumber"/>
              <w:rFonts w:ascii="Times New Roman" w:hAnsi="Times New Roman"/>
              <w:sz w:val="16"/>
            </w:rPr>
            <w:t xml:space="preserve"> (</w:t>
          </w:r>
          <w:r w:rsidRPr="004C10B6">
            <w:rPr>
              <w:rStyle w:val="PageNumber"/>
              <w:rFonts w:ascii="Times New Roman" w:hAnsi="Times New Roman"/>
              <w:sz w:val="16"/>
            </w:rPr>
            <w:fldChar w:fldCharType="begin"/>
          </w:r>
          <w:r w:rsidRPr="004C10B6">
            <w:rPr>
              <w:rStyle w:val="PageNumber"/>
              <w:rFonts w:ascii="Times New Roman" w:hAnsi="Times New Roman"/>
              <w:sz w:val="16"/>
            </w:rPr>
            <w:instrText xml:space="preserve"> NUMPAGES </w:instrText>
          </w:r>
          <w:r w:rsidRPr="004C10B6">
            <w:rPr>
              <w:rStyle w:val="PageNumber"/>
              <w:rFonts w:ascii="Times New Roman" w:hAnsi="Times New Roman"/>
              <w:sz w:val="16"/>
            </w:rPr>
            <w:fldChar w:fldCharType="separate"/>
          </w:r>
          <w:r w:rsidR="00111BB1">
            <w:rPr>
              <w:rStyle w:val="PageNumber"/>
              <w:rFonts w:ascii="Times New Roman" w:hAnsi="Times New Roman"/>
              <w:noProof/>
              <w:sz w:val="16"/>
            </w:rPr>
            <w:t>8</w:t>
          </w:r>
          <w:r w:rsidRPr="004C10B6">
            <w:rPr>
              <w:rStyle w:val="PageNumber"/>
              <w:rFonts w:ascii="Times New Roman" w:hAnsi="Times New Roman"/>
              <w:sz w:val="16"/>
            </w:rPr>
            <w:fldChar w:fldCharType="end"/>
          </w:r>
          <w:r w:rsidRPr="004C10B6">
            <w:rPr>
              <w:rStyle w:val="PageNumber"/>
              <w:rFonts w:ascii="Times New Roman" w:hAnsi="Times New Roman"/>
              <w:sz w:val="16"/>
            </w:rPr>
            <w:t>)</w:t>
          </w:r>
        </w:p>
      </w:tc>
    </w:tr>
  </w:tbl>
  <w:p w:rsidR="00275477" w:rsidRPr="004C10B6" w:rsidRDefault="0027547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4C40A6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59A2F2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DC734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F94A24F0"/>
    <w:lvl w:ilvl="0">
      <w:start w:val="1"/>
      <w:numFmt w:val="decimal"/>
      <w:lvlText w:val="%1."/>
      <w:lvlJc w:val="left"/>
      <w:pPr>
        <w:tabs>
          <w:tab w:val="num" w:pos="360"/>
        </w:tabs>
        <w:ind w:left="360" w:hanging="360"/>
      </w:pPr>
    </w:lvl>
  </w:abstractNum>
  <w:abstractNum w:abstractNumId="4">
    <w:nsid w:val="FFFFFF89"/>
    <w:multiLevelType w:val="singleLevel"/>
    <w:tmpl w:val="C7BCEF1A"/>
    <w:lvl w:ilvl="0">
      <w:start w:val="1"/>
      <w:numFmt w:val="bullet"/>
      <w:lvlText w:val=""/>
      <w:lvlJc w:val="left"/>
      <w:pPr>
        <w:tabs>
          <w:tab w:val="num" w:pos="360"/>
        </w:tabs>
        <w:ind w:left="360" w:hanging="360"/>
      </w:pPr>
      <w:rPr>
        <w:rFonts w:ascii="Symbol" w:hAnsi="Symbol" w:hint="default"/>
      </w:rPr>
    </w:lvl>
  </w:abstractNum>
  <w:abstractNum w:abstractNumId="5">
    <w:nsid w:val="07ED2DBB"/>
    <w:multiLevelType w:val="multilevel"/>
    <w:tmpl w:val="2DF4385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FE33D33"/>
    <w:multiLevelType w:val="hybridMultilevel"/>
    <w:tmpl w:val="F7AC37BE"/>
    <w:lvl w:ilvl="0" w:tplc="3D9841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5F1BE0"/>
    <w:multiLevelType w:val="multilevel"/>
    <w:tmpl w:val="E1562C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11E47DF0"/>
    <w:multiLevelType w:val="hybridMultilevel"/>
    <w:tmpl w:val="71761BF4"/>
    <w:lvl w:ilvl="0" w:tplc="AC04C74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2115C"/>
    <w:multiLevelType w:val="hybridMultilevel"/>
    <w:tmpl w:val="E856ADCA"/>
    <w:lvl w:ilvl="0" w:tplc="C1C891FE">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DE5687"/>
    <w:multiLevelType w:val="hybridMultilevel"/>
    <w:tmpl w:val="992A5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9D779F"/>
    <w:multiLevelType w:val="hybridMultilevel"/>
    <w:tmpl w:val="CB0AF866"/>
    <w:lvl w:ilvl="0" w:tplc="B0702C2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E457D0"/>
    <w:multiLevelType w:val="hybridMultilevel"/>
    <w:tmpl w:val="00E80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7F44C85"/>
    <w:multiLevelType w:val="hybridMultilevel"/>
    <w:tmpl w:val="F424A8E4"/>
    <w:lvl w:ilvl="0" w:tplc="C76AAEB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35E50"/>
    <w:multiLevelType w:val="multilevel"/>
    <w:tmpl w:val="F55C8F8C"/>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465B6293"/>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3E6446"/>
    <w:multiLevelType w:val="multilevel"/>
    <w:tmpl w:val="9DF2BB9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0241F5B"/>
    <w:multiLevelType w:val="multilevel"/>
    <w:tmpl w:val="CB0AF86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200083"/>
    <w:multiLevelType w:val="hybridMultilevel"/>
    <w:tmpl w:val="4754DD16"/>
    <w:lvl w:ilvl="0" w:tplc="77382C6E">
      <w:start w:val="1"/>
      <w:numFmt w:val="lowerLetter"/>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294F8F"/>
    <w:multiLevelType w:val="multilevel"/>
    <w:tmpl w:val="CF28E61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2BA191B"/>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62B150F"/>
    <w:multiLevelType w:val="multilevel"/>
    <w:tmpl w:val="B7ACB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8"/>
  </w:num>
  <w:num w:numId="3">
    <w:abstractNumId w:val="21"/>
  </w:num>
  <w:num w:numId="4">
    <w:abstractNumId w:val="13"/>
  </w:num>
  <w:num w:numId="5">
    <w:abstractNumId w:val="12"/>
  </w:num>
  <w:num w:numId="6">
    <w:abstractNumId w:val="7"/>
  </w:num>
  <w:num w:numId="7">
    <w:abstractNumId w:val="11"/>
  </w:num>
  <w:num w:numId="8">
    <w:abstractNumId w:val="17"/>
  </w:num>
  <w:num w:numId="9">
    <w:abstractNumId w:val="6"/>
  </w:num>
  <w:num w:numId="10">
    <w:abstractNumId w:val="9"/>
  </w:num>
  <w:num w:numId="11">
    <w:abstractNumId w:val="4"/>
  </w:num>
  <w:num w:numId="12">
    <w:abstractNumId w:val="2"/>
  </w:num>
  <w:num w:numId="13">
    <w:abstractNumId w:val="1"/>
  </w:num>
  <w:num w:numId="14">
    <w:abstractNumId w:val="0"/>
  </w:num>
  <w:num w:numId="15">
    <w:abstractNumId w:val="3"/>
  </w:num>
  <w:num w:numId="16">
    <w:abstractNumId w:val="8"/>
  </w:num>
  <w:num w:numId="17">
    <w:abstractNumId w:val="15"/>
  </w:num>
  <w:num w:numId="18">
    <w:abstractNumId w:val="20"/>
  </w:num>
  <w:num w:numId="19">
    <w:abstractNumId w:val="16"/>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CF"/>
    <w:rsid w:val="00010EA9"/>
    <w:rsid w:val="000225DF"/>
    <w:rsid w:val="00111BB1"/>
    <w:rsid w:val="0016549B"/>
    <w:rsid w:val="001C2CC8"/>
    <w:rsid w:val="00275477"/>
    <w:rsid w:val="0030378D"/>
    <w:rsid w:val="00326453"/>
    <w:rsid w:val="003554F4"/>
    <w:rsid w:val="004845EA"/>
    <w:rsid w:val="004C10B6"/>
    <w:rsid w:val="006721B8"/>
    <w:rsid w:val="00962AE7"/>
    <w:rsid w:val="00970576"/>
    <w:rsid w:val="00985ECF"/>
    <w:rsid w:val="00BD1DEA"/>
    <w:rsid w:val="00C44D33"/>
    <w:rsid w:val="00C555DD"/>
    <w:rsid w:val="00D3390E"/>
    <w:rsid w:val="00F31AA4"/>
    <w:rsid w:val="00F42D08"/>
    <w:rsid w:val="00FF0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numPr>
        <w:numId w:val="10"/>
      </w:numPr>
      <w:tabs>
        <w:tab w:val="clear" w:pos="720"/>
      </w:tabs>
      <w:spacing w:before="600" w:after="240"/>
      <w:ind w:left="360"/>
      <w:jc w:val="left"/>
      <w:outlineLvl w:val="0"/>
    </w:pPr>
    <w:rPr>
      <w:b/>
      <w:sz w:val="28"/>
    </w:rPr>
  </w:style>
  <w:style w:type="paragraph" w:styleId="Heading2">
    <w:name w:val="heading 2"/>
    <w:basedOn w:val="Normal"/>
    <w:next w:val="Normal"/>
    <w:qFormat/>
    <w:pPr>
      <w:keepNext/>
      <w:spacing w:before="360" w:after="240"/>
      <w:jc w:val="left"/>
      <w:outlineLvl w:val="1"/>
    </w:pPr>
    <w:rPr>
      <w:b/>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Cs/>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left"/>
    </w:pPr>
    <w:rPr>
      <w:sz w:val="20"/>
      <w:szCs w:val="20"/>
    </w:rPr>
  </w:style>
  <w:style w:type="paragraph" w:styleId="Title">
    <w:name w:val="Title"/>
    <w:basedOn w:val="Normal"/>
    <w:qFormat/>
    <w:pPr>
      <w:jc w:val="center"/>
    </w:pPr>
    <w:rPr>
      <w:rFonts w:ascii="Times New Roman" w:hAnsi="Times New Roman"/>
      <w:b/>
      <w:sz w:val="32"/>
    </w:rPr>
  </w:style>
  <w:style w:type="paragraph" w:styleId="BodyText">
    <w:name w:val="Body Text"/>
    <w:basedOn w:val="Normal"/>
    <w:rPr>
      <w:rFonts w:ascii="Times New Roman" w:hAnsi="Times New Roman"/>
    </w:rPr>
  </w:style>
  <w:style w:type="paragraph" w:styleId="TOC1">
    <w:name w:val="toc 1"/>
    <w:basedOn w:val="Normal"/>
    <w:next w:val="Normal"/>
    <w:autoRedefine/>
    <w:uiPriority w:val="39"/>
    <w:pPr>
      <w:tabs>
        <w:tab w:val="left" w:pos="480"/>
        <w:tab w:val="right" w:leader="dot" w:pos="9345"/>
      </w:tabs>
      <w:spacing w:before="120" w:after="120"/>
      <w:jc w:val="left"/>
    </w:pPr>
    <w:rPr>
      <w:rFonts w:cs="Arial"/>
      <w:b/>
      <w:bCs/>
      <w:noProof/>
    </w:rPr>
  </w:style>
  <w:style w:type="paragraph" w:styleId="TOC2">
    <w:name w:val="toc 2"/>
    <w:basedOn w:val="Normal"/>
    <w:next w:val="Normal"/>
    <w:autoRedefine/>
    <w:uiPriority w:val="39"/>
    <w:pPr>
      <w:tabs>
        <w:tab w:val="right" w:leader="dot" w:pos="9345"/>
      </w:tabs>
      <w:ind w:left="240"/>
      <w:jc w:val="left"/>
    </w:pPr>
    <w:rPr>
      <w:rFonts w:cs="Arial"/>
      <w:noProof/>
    </w:rPr>
  </w:style>
  <w:style w:type="paragraph" w:styleId="TOC3">
    <w:name w:val="toc 3"/>
    <w:basedOn w:val="Normal"/>
    <w:next w:val="Normal"/>
    <w:autoRedefine/>
    <w:semiHidden/>
    <w:pPr>
      <w:ind w:left="480"/>
      <w:jc w:val="left"/>
    </w:pPr>
    <w:rPr>
      <w:rFonts w:ascii="Times New Roman" w:hAnsi="Times New Roman"/>
      <w:i/>
      <w:iCs/>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uiPriority w:val="99"/>
    <w:rPr>
      <w:color w:val="0000FF"/>
      <w:u w:val="single"/>
    </w:rPr>
  </w:style>
  <w:style w:type="paragraph" w:styleId="BodyTextIndent">
    <w:name w:val="Body Text Indent"/>
    <w:basedOn w:val="Normal"/>
    <w:pPr>
      <w:ind w:left="5400"/>
    </w:pPr>
    <w:rPr>
      <w:rFonts w:ascii="Times New Roman" w:hAnsi="Times New Roman"/>
      <w:color w:val="000080"/>
      <w:sz w:val="20"/>
    </w:rPr>
  </w:style>
  <w:style w:type="paragraph" w:styleId="ListBullet">
    <w:name w:val="List Bullet"/>
    <w:basedOn w:val="Normal"/>
    <w:autoRedefine/>
    <w:pPr>
      <w:numPr>
        <w:numId w:val="16"/>
      </w:numPr>
      <w:ind w:left="641" w:hanging="357"/>
    </w:pPr>
  </w:style>
  <w:style w:type="paragraph" w:styleId="ListParagraph">
    <w:name w:val="List Paragraph"/>
    <w:basedOn w:val="Normal"/>
    <w:uiPriority w:val="34"/>
    <w:qFormat/>
    <w:rsid w:val="006721B8"/>
    <w:pPr>
      <w:ind w:left="720"/>
      <w:contextualSpacing/>
    </w:pPr>
  </w:style>
  <w:style w:type="paragraph" w:styleId="CommentText">
    <w:name w:val="annotation text"/>
    <w:basedOn w:val="Normal"/>
    <w:link w:val="CommentTextChar"/>
    <w:uiPriority w:val="99"/>
    <w:unhideWhenUsed/>
    <w:rsid w:val="006721B8"/>
    <w:rPr>
      <w:sz w:val="20"/>
      <w:szCs w:val="20"/>
    </w:rPr>
  </w:style>
  <w:style w:type="character" w:customStyle="1" w:styleId="CommentTextChar">
    <w:name w:val="Comment Text Char"/>
    <w:link w:val="CommentText"/>
    <w:uiPriority w:val="99"/>
    <w:rsid w:val="006721B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numPr>
        <w:numId w:val="10"/>
      </w:numPr>
      <w:tabs>
        <w:tab w:val="clear" w:pos="720"/>
      </w:tabs>
      <w:spacing w:before="600" w:after="240"/>
      <w:ind w:left="360"/>
      <w:jc w:val="left"/>
      <w:outlineLvl w:val="0"/>
    </w:pPr>
    <w:rPr>
      <w:b/>
      <w:sz w:val="28"/>
    </w:rPr>
  </w:style>
  <w:style w:type="paragraph" w:styleId="Heading2">
    <w:name w:val="heading 2"/>
    <w:basedOn w:val="Normal"/>
    <w:next w:val="Normal"/>
    <w:qFormat/>
    <w:pPr>
      <w:keepNext/>
      <w:spacing w:before="360" w:after="240"/>
      <w:jc w:val="left"/>
      <w:outlineLvl w:val="1"/>
    </w:pPr>
    <w:rPr>
      <w:b/>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Cs/>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left"/>
    </w:pPr>
    <w:rPr>
      <w:sz w:val="20"/>
      <w:szCs w:val="20"/>
    </w:rPr>
  </w:style>
  <w:style w:type="paragraph" w:styleId="Title">
    <w:name w:val="Title"/>
    <w:basedOn w:val="Normal"/>
    <w:qFormat/>
    <w:pPr>
      <w:jc w:val="center"/>
    </w:pPr>
    <w:rPr>
      <w:rFonts w:ascii="Times New Roman" w:hAnsi="Times New Roman"/>
      <w:b/>
      <w:sz w:val="32"/>
    </w:rPr>
  </w:style>
  <w:style w:type="paragraph" w:styleId="BodyText">
    <w:name w:val="Body Text"/>
    <w:basedOn w:val="Normal"/>
    <w:rPr>
      <w:rFonts w:ascii="Times New Roman" w:hAnsi="Times New Roman"/>
    </w:rPr>
  </w:style>
  <w:style w:type="paragraph" w:styleId="TOC1">
    <w:name w:val="toc 1"/>
    <w:basedOn w:val="Normal"/>
    <w:next w:val="Normal"/>
    <w:autoRedefine/>
    <w:uiPriority w:val="39"/>
    <w:pPr>
      <w:tabs>
        <w:tab w:val="left" w:pos="480"/>
        <w:tab w:val="right" w:leader="dot" w:pos="9345"/>
      </w:tabs>
      <w:spacing w:before="120" w:after="120"/>
      <w:jc w:val="left"/>
    </w:pPr>
    <w:rPr>
      <w:rFonts w:cs="Arial"/>
      <w:b/>
      <w:bCs/>
      <w:noProof/>
    </w:rPr>
  </w:style>
  <w:style w:type="paragraph" w:styleId="TOC2">
    <w:name w:val="toc 2"/>
    <w:basedOn w:val="Normal"/>
    <w:next w:val="Normal"/>
    <w:autoRedefine/>
    <w:uiPriority w:val="39"/>
    <w:pPr>
      <w:tabs>
        <w:tab w:val="right" w:leader="dot" w:pos="9345"/>
      </w:tabs>
      <w:ind w:left="240"/>
      <w:jc w:val="left"/>
    </w:pPr>
    <w:rPr>
      <w:rFonts w:cs="Arial"/>
      <w:noProof/>
    </w:rPr>
  </w:style>
  <w:style w:type="paragraph" w:styleId="TOC3">
    <w:name w:val="toc 3"/>
    <w:basedOn w:val="Normal"/>
    <w:next w:val="Normal"/>
    <w:autoRedefine/>
    <w:semiHidden/>
    <w:pPr>
      <w:ind w:left="480"/>
      <w:jc w:val="left"/>
    </w:pPr>
    <w:rPr>
      <w:rFonts w:ascii="Times New Roman" w:hAnsi="Times New Roman"/>
      <w:i/>
      <w:iCs/>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uiPriority w:val="99"/>
    <w:rPr>
      <w:color w:val="0000FF"/>
      <w:u w:val="single"/>
    </w:rPr>
  </w:style>
  <w:style w:type="paragraph" w:styleId="BodyTextIndent">
    <w:name w:val="Body Text Indent"/>
    <w:basedOn w:val="Normal"/>
    <w:pPr>
      <w:ind w:left="5400"/>
    </w:pPr>
    <w:rPr>
      <w:rFonts w:ascii="Times New Roman" w:hAnsi="Times New Roman"/>
      <w:color w:val="000080"/>
      <w:sz w:val="20"/>
    </w:rPr>
  </w:style>
  <w:style w:type="paragraph" w:styleId="ListBullet">
    <w:name w:val="List Bullet"/>
    <w:basedOn w:val="Normal"/>
    <w:autoRedefine/>
    <w:pPr>
      <w:numPr>
        <w:numId w:val="16"/>
      </w:numPr>
      <w:ind w:left="641" w:hanging="357"/>
    </w:pPr>
  </w:style>
  <w:style w:type="paragraph" w:styleId="ListParagraph">
    <w:name w:val="List Paragraph"/>
    <w:basedOn w:val="Normal"/>
    <w:uiPriority w:val="34"/>
    <w:qFormat/>
    <w:rsid w:val="006721B8"/>
    <w:pPr>
      <w:ind w:left="720"/>
      <w:contextualSpacing/>
    </w:pPr>
  </w:style>
  <w:style w:type="paragraph" w:styleId="CommentText">
    <w:name w:val="annotation text"/>
    <w:basedOn w:val="Normal"/>
    <w:link w:val="CommentTextChar"/>
    <w:uiPriority w:val="99"/>
    <w:unhideWhenUsed/>
    <w:rsid w:val="006721B8"/>
    <w:rPr>
      <w:sz w:val="20"/>
      <w:szCs w:val="20"/>
    </w:rPr>
  </w:style>
  <w:style w:type="character" w:customStyle="1" w:styleId="CommentTextChar">
    <w:name w:val="Comment Text Char"/>
    <w:link w:val="CommentText"/>
    <w:uiPriority w:val="99"/>
    <w:rsid w:val="006721B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8400</Words>
  <Characters>4789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Struktūrvienību nolikumi</vt:lpstr>
    </vt:vector>
  </TitlesOfParts>
  <Company>Latvenergo</Company>
  <LinksUpToDate>false</LinksUpToDate>
  <CharactersWithSpaces>13163</CharactersWithSpaces>
  <SharedDoc>false</SharedDoc>
  <HLinks>
    <vt:vector size="48" baseType="variant">
      <vt:variant>
        <vt:i4>1245238</vt:i4>
      </vt:variant>
      <vt:variant>
        <vt:i4>44</vt:i4>
      </vt:variant>
      <vt:variant>
        <vt:i4>0</vt:i4>
      </vt:variant>
      <vt:variant>
        <vt:i4>5</vt:i4>
      </vt:variant>
      <vt:variant>
        <vt:lpwstr/>
      </vt:variant>
      <vt:variant>
        <vt:lpwstr>_Toc430608292</vt:lpwstr>
      </vt:variant>
      <vt:variant>
        <vt:i4>1245238</vt:i4>
      </vt:variant>
      <vt:variant>
        <vt:i4>38</vt:i4>
      </vt:variant>
      <vt:variant>
        <vt:i4>0</vt:i4>
      </vt:variant>
      <vt:variant>
        <vt:i4>5</vt:i4>
      </vt:variant>
      <vt:variant>
        <vt:lpwstr/>
      </vt:variant>
      <vt:variant>
        <vt:lpwstr>_Toc430608291</vt:lpwstr>
      </vt:variant>
      <vt:variant>
        <vt:i4>1245238</vt:i4>
      </vt:variant>
      <vt:variant>
        <vt:i4>32</vt:i4>
      </vt:variant>
      <vt:variant>
        <vt:i4>0</vt:i4>
      </vt:variant>
      <vt:variant>
        <vt:i4>5</vt:i4>
      </vt:variant>
      <vt:variant>
        <vt:lpwstr/>
      </vt:variant>
      <vt:variant>
        <vt:lpwstr>_Toc430608290</vt:lpwstr>
      </vt:variant>
      <vt:variant>
        <vt:i4>1179702</vt:i4>
      </vt:variant>
      <vt:variant>
        <vt:i4>26</vt:i4>
      </vt:variant>
      <vt:variant>
        <vt:i4>0</vt:i4>
      </vt:variant>
      <vt:variant>
        <vt:i4>5</vt:i4>
      </vt:variant>
      <vt:variant>
        <vt:lpwstr/>
      </vt:variant>
      <vt:variant>
        <vt:lpwstr>_Toc430608289</vt:lpwstr>
      </vt:variant>
      <vt:variant>
        <vt:i4>1179702</vt:i4>
      </vt:variant>
      <vt:variant>
        <vt:i4>20</vt:i4>
      </vt:variant>
      <vt:variant>
        <vt:i4>0</vt:i4>
      </vt:variant>
      <vt:variant>
        <vt:i4>5</vt:i4>
      </vt:variant>
      <vt:variant>
        <vt:lpwstr/>
      </vt:variant>
      <vt:variant>
        <vt:lpwstr>_Toc430608288</vt:lpwstr>
      </vt:variant>
      <vt:variant>
        <vt:i4>1179702</vt:i4>
      </vt:variant>
      <vt:variant>
        <vt:i4>14</vt:i4>
      </vt:variant>
      <vt:variant>
        <vt:i4>0</vt:i4>
      </vt:variant>
      <vt:variant>
        <vt:i4>5</vt:i4>
      </vt:variant>
      <vt:variant>
        <vt:lpwstr/>
      </vt:variant>
      <vt:variant>
        <vt:lpwstr>_Toc430608287</vt:lpwstr>
      </vt:variant>
      <vt:variant>
        <vt:i4>1179702</vt:i4>
      </vt:variant>
      <vt:variant>
        <vt:i4>8</vt:i4>
      </vt:variant>
      <vt:variant>
        <vt:i4>0</vt:i4>
      </vt:variant>
      <vt:variant>
        <vt:i4>5</vt:i4>
      </vt:variant>
      <vt:variant>
        <vt:lpwstr/>
      </vt:variant>
      <vt:variant>
        <vt:lpwstr>_Toc430608286</vt:lpwstr>
      </vt:variant>
      <vt:variant>
        <vt:i4>1179702</vt:i4>
      </vt:variant>
      <vt:variant>
        <vt:i4>2</vt:i4>
      </vt:variant>
      <vt:variant>
        <vt:i4>0</vt:i4>
      </vt:variant>
      <vt:variant>
        <vt:i4>5</vt:i4>
      </vt:variant>
      <vt:variant>
        <vt:lpwstr/>
      </vt:variant>
      <vt:variant>
        <vt:lpwstr>_Toc430608285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Struktūrvienību nolikumi</dc:title>
  <dc:creator>urats</dc:creator>
  <cp:lastModifiedBy>Mārtiņš Juškāns</cp:lastModifiedBy>
  <cp:revision>2</cp:revision>
  <cp:lastPrinted>2002-06-05T09:42:00Z</cp:lastPrinted>
  <dcterms:created xsi:type="dcterms:W3CDTF">2021-04-29T06:05:00Z</dcterms:created>
  <dcterms:modified xsi:type="dcterms:W3CDTF">2021-04-29T06:05:00Z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Pk01IT44/123</vt:lpwstr>
  </property>
  <property fmtid="{D5CDD505-2E9C-101B-9397-08002B2CF9AE}" pid="3" name="Office">
    <vt:lpwstr>Filiāle "Augstsprieguma tīkls"</vt:lpwstr>
  </property>
  <property fmtid="{D5CDD505-2E9C-101B-9397-08002B2CF9AE}" pid="4" name="FLD_Apstiprinats">
    <vt:filetime>2002-05-09T21:00:00Z</vt:filetime>
  </property>
  <property fmtid="{D5CDD505-2E9C-101B-9397-08002B2CF9AE}" pid="5" name="FLD_RikNr">
    <vt:lpwstr>123</vt:lpwstr>
  </property>
  <property fmtid="{D5CDD505-2E9C-101B-9397-08002B2CF9AE}" pid="6" name="FLD_Apstiprinajis">
    <vt:lpwstr>J.Kalniņš</vt:lpwstr>
  </property>
  <property fmtid="{D5CDD505-2E9C-101B-9397-08002B2CF9AE}" pid="7" name="FLD_SpekaNo">
    <vt:filetime>2002-05-31T21:00:00Z</vt:filetime>
  </property>
  <property fmtid="{D5CDD505-2E9C-101B-9397-08002B2CF9AE}" pid="8" name="FLD_DokVers">
    <vt:i4>0</vt:i4>
  </property>
  <property fmtid="{D5CDD505-2E9C-101B-9397-08002B2CF9AE}" pid="9" name="FLD_RikDatums">
    <vt:filetime>2002-01-31T21:00:00Z</vt:filetime>
  </property>
  <property fmtid="{D5CDD505-2E9C-101B-9397-08002B2CF9AE}" pid="10" name="Telephone number">
    <vt:lpwstr>Tālr.: +371 7125309, Fakss: +371 7125211</vt:lpwstr>
  </property>
  <property fmtid="{D5CDD505-2E9C-101B-9397-08002B2CF9AE}" pid="11" name="FLD_Address">
    <vt:lpwstr>Dārzciema iela 86, Rīga, LV-1073, Latvija</vt:lpwstr>
  </property>
  <property fmtid="{D5CDD505-2E9C-101B-9397-08002B2CF9AE}" pid="12" name="LotusNotesDocumentUNID">
    <vt:lpwstr>8A88BAA1F09BD845C2257EC300478ED0</vt:lpwstr>
  </property>
  <property fmtid="{D5CDD505-2E9C-101B-9397-08002B2CF9AE}" pid="13" name="LotusNotesTemplateDocumentUNID">
    <vt:lpwstr/>
  </property>
</Properties>
</file>