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DD68" w14:textId="77777777" w:rsidR="00E01F1D" w:rsidRPr="00D04D7B" w:rsidRDefault="00E01F1D" w:rsidP="00E01F1D">
      <w:pPr>
        <w:pStyle w:val="Title"/>
        <w:rPr>
          <w:sz w:val="24"/>
          <w:szCs w:val="24"/>
          <w:lang w:val="lv-LV"/>
        </w:rPr>
      </w:pPr>
      <w:r w:rsidRPr="00D04D7B">
        <w:rPr>
          <w:sz w:val="24"/>
          <w:szCs w:val="24"/>
          <w:lang w:val="lv-LV"/>
        </w:rPr>
        <w:t>TEHNISKĀ SPECIFIKĀCIJA</w:t>
      </w:r>
    </w:p>
    <w:p w14:paraId="4037BA45" w14:textId="77777777" w:rsidR="00E01F1D" w:rsidRPr="00D04D7B" w:rsidRDefault="00E01F1D" w:rsidP="00E01F1D">
      <w:pPr>
        <w:pStyle w:val="Title"/>
        <w:rPr>
          <w:sz w:val="24"/>
          <w:szCs w:val="24"/>
          <w:lang w:val="lv-LV"/>
        </w:rPr>
      </w:pPr>
    </w:p>
    <w:p w14:paraId="34F1BA97" w14:textId="413B4E3F" w:rsidR="00E01F1D" w:rsidRPr="00430774" w:rsidRDefault="00E01F1D" w:rsidP="00E01F1D">
      <w:pPr>
        <w:widowControl w:val="0"/>
        <w:jc w:val="both"/>
      </w:pPr>
      <w:r w:rsidRPr="00D04D7B">
        <w:t>1.1. </w:t>
      </w:r>
      <w:r w:rsidRPr="00430774">
        <w:t>Pasūtītājs uzaicina Pretendentus sagatavot un iesniegt piedāvājumu</w:t>
      </w:r>
      <w:r w:rsidR="00232000" w:rsidRPr="00430774">
        <w:t xml:space="preserve"> </w:t>
      </w:r>
      <w:r w:rsidRPr="00430774">
        <w:t>AS "Latvenergo" objekta TEC</w:t>
      </w:r>
      <w:r w:rsidR="00EB798C" w:rsidRPr="00430774">
        <w:t>-</w:t>
      </w:r>
      <w:r w:rsidRPr="00430774">
        <w:t xml:space="preserve">1 īpašuma apdrošināšanai: </w:t>
      </w:r>
    </w:p>
    <w:p w14:paraId="737B0221" w14:textId="77777777" w:rsidR="00232000" w:rsidRPr="00430774" w:rsidRDefault="00232000" w:rsidP="00E01F1D">
      <w:pPr>
        <w:widowControl w:val="0"/>
        <w:tabs>
          <w:tab w:val="left" w:pos="854"/>
        </w:tabs>
        <w:ind w:left="1134"/>
        <w:jc w:val="both"/>
      </w:pPr>
      <w:r w:rsidRPr="00430774">
        <w:rPr>
          <w:b/>
          <w:bCs/>
        </w:rPr>
        <w:t>Objekts</w:t>
      </w:r>
      <w:r w:rsidRPr="00430774">
        <w:t>:</w:t>
      </w:r>
    </w:p>
    <w:p w14:paraId="388FFE4F" w14:textId="2EE615A5" w:rsidR="00E01F1D" w:rsidRPr="00430774" w:rsidRDefault="00E01F1D" w:rsidP="00E01F1D">
      <w:pPr>
        <w:widowControl w:val="0"/>
        <w:tabs>
          <w:tab w:val="left" w:pos="854"/>
        </w:tabs>
        <w:ind w:left="1134"/>
        <w:jc w:val="both"/>
      </w:pPr>
      <w:r w:rsidRPr="00430774">
        <w:t>Ražotnes "TEC-1" ēku, būvju, iekārtu komplekss, kas nodots ekspluatācijā 2005.gada 1.novembrī, un papildus ūdens sildīšanas katla ēku, būvju, iekārtu komplekss, kas nodots ekspluatācijā 2010.gada 10.jūnijā (turpmāk nolikuma tekstā "TEC-1")</w:t>
      </w:r>
      <w:r w:rsidR="00221B6E" w:rsidRPr="00430774">
        <w:t>.</w:t>
      </w:r>
    </w:p>
    <w:p w14:paraId="071BF32C" w14:textId="0F6815BA" w:rsidR="00E01F1D" w:rsidRPr="00430774" w:rsidRDefault="00E01F1D" w:rsidP="00B96485">
      <w:pPr>
        <w:widowControl w:val="0"/>
        <w:numPr>
          <w:ilvl w:val="1"/>
          <w:numId w:val="2"/>
        </w:numPr>
        <w:tabs>
          <w:tab w:val="left" w:pos="426"/>
        </w:tabs>
        <w:ind w:left="426" w:hanging="426"/>
        <w:jc w:val="both"/>
      </w:pPr>
      <w:r w:rsidRPr="00430774">
        <w:rPr>
          <w:b/>
          <w:bCs/>
        </w:rPr>
        <w:t>Apdrošināšanas periods</w:t>
      </w:r>
      <w:r w:rsidR="00232000" w:rsidRPr="00430774">
        <w:t>:</w:t>
      </w:r>
      <w:r w:rsidR="00B96485">
        <w:t xml:space="preserve"> </w:t>
      </w:r>
      <w:r w:rsidR="001478CD" w:rsidRPr="00430774">
        <w:t>12</w:t>
      </w:r>
      <w:r w:rsidR="00232000" w:rsidRPr="00430774">
        <w:t xml:space="preserve"> </w:t>
      </w:r>
      <w:r w:rsidRPr="00430774">
        <w:t>(</w:t>
      </w:r>
      <w:r w:rsidR="001478CD" w:rsidRPr="00430774">
        <w:t>divpadsmit</w:t>
      </w:r>
      <w:r w:rsidRPr="00430774">
        <w:t>) mēneši</w:t>
      </w:r>
      <w:r w:rsidR="0076024D" w:rsidRPr="00430774">
        <w:t>;</w:t>
      </w:r>
    </w:p>
    <w:p w14:paraId="564C83A0" w14:textId="0B6BA158" w:rsidR="00E01F1D" w:rsidRPr="00430774" w:rsidRDefault="00232000" w:rsidP="00E01F1D">
      <w:pPr>
        <w:widowControl w:val="0"/>
        <w:numPr>
          <w:ilvl w:val="1"/>
          <w:numId w:val="2"/>
        </w:numPr>
        <w:tabs>
          <w:tab w:val="left" w:pos="426"/>
        </w:tabs>
        <w:ind w:left="426" w:hanging="426"/>
        <w:jc w:val="both"/>
      </w:pPr>
      <w:r w:rsidRPr="00430774">
        <w:rPr>
          <w:b/>
          <w:bCs/>
        </w:rPr>
        <w:t>Pašrisks</w:t>
      </w:r>
      <w:r w:rsidR="00E01F1D" w:rsidRPr="00430774">
        <w:t xml:space="preserve">: </w:t>
      </w:r>
    </w:p>
    <w:p w14:paraId="50626425" w14:textId="64B32028" w:rsidR="00E01F1D" w:rsidRPr="00430774" w:rsidRDefault="00EC4A93" w:rsidP="00B83062">
      <w:pPr>
        <w:pStyle w:val="ListParagraph"/>
        <w:widowControl w:val="0"/>
        <w:numPr>
          <w:ilvl w:val="2"/>
          <w:numId w:val="2"/>
        </w:numPr>
        <w:tabs>
          <w:tab w:val="left" w:pos="854"/>
          <w:tab w:val="left" w:pos="882"/>
        </w:tabs>
        <w:jc w:val="both"/>
        <w:rPr>
          <w:color w:val="000000"/>
        </w:rPr>
      </w:pPr>
      <w:proofErr w:type="spellStart"/>
      <w:r w:rsidRPr="00430774">
        <w:rPr>
          <w:color w:val="000000"/>
        </w:rPr>
        <w:t>Pamatpiedāvājums</w:t>
      </w:r>
      <w:proofErr w:type="spellEnd"/>
      <w:r w:rsidR="00DF41C7" w:rsidRPr="00430774">
        <w:rPr>
          <w:color w:val="000000"/>
        </w:rPr>
        <w:t xml:space="preserve">: </w:t>
      </w:r>
      <w:r w:rsidR="00E01F1D" w:rsidRPr="00430774">
        <w:rPr>
          <w:color w:val="000000"/>
        </w:rPr>
        <w:t xml:space="preserve">500 000 EUR (pieci simti tūkstoši </w:t>
      </w:r>
      <w:proofErr w:type="spellStart"/>
      <w:r w:rsidR="00E01F1D" w:rsidRPr="00430774">
        <w:rPr>
          <w:color w:val="000000"/>
        </w:rPr>
        <w:t>e</w:t>
      </w:r>
      <w:r w:rsidR="0076024D" w:rsidRPr="00430774">
        <w:rPr>
          <w:color w:val="000000"/>
        </w:rPr>
        <w:t>u</w:t>
      </w:r>
      <w:r w:rsidR="00E01F1D" w:rsidRPr="00430774">
        <w:rPr>
          <w:color w:val="000000"/>
        </w:rPr>
        <w:t>ro</w:t>
      </w:r>
      <w:proofErr w:type="spellEnd"/>
      <w:r w:rsidR="00E01F1D" w:rsidRPr="00430774">
        <w:rPr>
          <w:color w:val="000000"/>
        </w:rPr>
        <w:t>) par gadījumu;</w:t>
      </w:r>
    </w:p>
    <w:p w14:paraId="603E7F16" w14:textId="77777777" w:rsidR="00EC4A93" w:rsidRPr="00430774" w:rsidRDefault="00EC4A93" w:rsidP="00EC4A93">
      <w:pPr>
        <w:pStyle w:val="ListParagraph"/>
        <w:widowControl w:val="0"/>
        <w:numPr>
          <w:ilvl w:val="2"/>
          <w:numId w:val="2"/>
        </w:numPr>
        <w:tabs>
          <w:tab w:val="left" w:pos="854"/>
          <w:tab w:val="left" w:pos="882"/>
        </w:tabs>
        <w:jc w:val="both"/>
        <w:rPr>
          <w:color w:val="000000"/>
        </w:rPr>
      </w:pPr>
      <w:r w:rsidRPr="00430774">
        <w:rPr>
          <w:color w:val="000000"/>
        </w:rPr>
        <w:t>Alternatīva 1</w:t>
      </w:r>
      <w:r w:rsidR="00B83062" w:rsidRPr="00430774">
        <w:rPr>
          <w:color w:val="000000"/>
        </w:rPr>
        <w:t xml:space="preserve">: 1 000 000 EUR (viens miljons </w:t>
      </w:r>
      <w:proofErr w:type="spellStart"/>
      <w:r w:rsidR="00B83062" w:rsidRPr="00430774">
        <w:rPr>
          <w:color w:val="000000"/>
        </w:rPr>
        <w:t>euro</w:t>
      </w:r>
      <w:proofErr w:type="spellEnd"/>
      <w:r w:rsidR="00B83062" w:rsidRPr="00430774">
        <w:rPr>
          <w:color w:val="000000"/>
        </w:rPr>
        <w:t>) par gadījumu</w:t>
      </w:r>
      <w:r w:rsidRPr="00430774">
        <w:rPr>
          <w:color w:val="000000"/>
        </w:rPr>
        <w:t>;</w:t>
      </w:r>
    </w:p>
    <w:p w14:paraId="0A543FC3" w14:textId="142474B6" w:rsidR="00E01F1D" w:rsidRPr="00430774" w:rsidRDefault="00232000" w:rsidP="00E01F1D">
      <w:pPr>
        <w:widowControl w:val="0"/>
        <w:numPr>
          <w:ilvl w:val="1"/>
          <w:numId w:val="2"/>
        </w:numPr>
        <w:tabs>
          <w:tab w:val="left" w:pos="426"/>
        </w:tabs>
        <w:ind w:left="426" w:hanging="426"/>
        <w:jc w:val="both"/>
      </w:pPr>
      <w:r w:rsidRPr="00430774">
        <w:rPr>
          <w:b/>
          <w:bCs/>
        </w:rPr>
        <w:t>Apdrošinājuma summa:</w:t>
      </w:r>
      <w:r w:rsidRPr="00430774">
        <w:t xml:space="preserve"> </w:t>
      </w:r>
      <w:r w:rsidR="00E01F1D" w:rsidRPr="00430774">
        <w:t>Objekta TEC-1 apdrošinājuma summa atbilst apdrošināšanas polises atbildības limitam "pirmā zaudējuma" (</w:t>
      </w:r>
      <w:proofErr w:type="spellStart"/>
      <w:r w:rsidR="00E01F1D" w:rsidRPr="00430774">
        <w:t>angl</w:t>
      </w:r>
      <w:proofErr w:type="spellEnd"/>
      <w:r w:rsidR="00E01F1D" w:rsidRPr="00430774">
        <w:t xml:space="preserve">. – "first </w:t>
      </w:r>
      <w:proofErr w:type="spellStart"/>
      <w:r w:rsidR="00E01F1D" w:rsidRPr="00430774">
        <w:t>loss</w:t>
      </w:r>
      <w:proofErr w:type="spellEnd"/>
      <w:r w:rsidR="00E01F1D" w:rsidRPr="00430774">
        <w:t xml:space="preserve">") apdrošināšanā, kas noteikts </w:t>
      </w:r>
      <w:r w:rsidR="00B83062" w:rsidRPr="00430774">
        <w:t xml:space="preserve">atbilstoši </w:t>
      </w:r>
      <w:proofErr w:type="spellStart"/>
      <w:r w:rsidR="00B83062" w:rsidRPr="00430774">
        <w:t>Maximum</w:t>
      </w:r>
      <w:proofErr w:type="spellEnd"/>
      <w:r w:rsidR="00B83062" w:rsidRPr="00430774">
        <w:t xml:space="preserve"> </w:t>
      </w:r>
      <w:proofErr w:type="spellStart"/>
      <w:r w:rsidR="00B83062" w:rsidRPr="00430774">
        <w:t>Possib</w:t>
      </w:r>
      <w:r w:rsidR="00AF4E16">
        <w:t>le</w:t>
      </w:r>
      <w:proofErr w:type="spellEnd"/>
      <w:r w:rsidR="00B83062" w:rsidRPr="00430774">
        <w:t xml:space="preserve"> </w:t>
      </w:r>
      <w:proofErr w:type="spellStart"/>
      <w:r w:rsidR="00B83062" w:rsidRPr="00430774">
        <w:t>Loss</w:t>
      </w:r>
      <w:proofErr w:type="spellEnd"/>
      <w:r w:rsidR="00B83062" w:rsidRPr="00430774">
        <w:t xml:space="preserve"> apmēram saskaņā ar "</w:t>
      </w:r>
      <w:r w:rsidR="00B83062" w:rsidRPr="00430774">
        <w:rPr>
          <w:lang w:val="en-US"/>
        </w:rPr>
        <w:t>Risk report for company LATVENERGO AS</w:t>
      </w:r>
      <w:r w:rsidR="00B83062" w:rsidRPr="00430774">
        <w:rPr>
          <w:b/>
          <w:bCs/>
          <w:lang w:val="en-US"/>
        </w:rPr>
        <w:t xml:space="preserve">, </w:t>
      </w:r>
      <w:sdt>
        <w:sdtPr>
          <w:rPr>
            <w:rStyle w:val="NabdkadatumChar"/>
            <w:rFonts w:ascii="Times New Roman" w:eastAsiaTheme="minorEastAsia" w:hAnsi="Times New Roman"/>
            <w:b w:val="0"/>
            <w:bCs/>
            <w:sz w:val="24"/>
            <w:lang w:val="en-US"/>
          </w:rPr>
          <w:id w:val="-101420534"/>
          <w:placeholder>
            <w:docPart w:val="D6F420704B9548B2B6E25ACA3B04C3C3"/>
          </w:placeholder>
          <w:text/>
        </w:sdtPr>
        <w:sdtEndPr>
          <w:rPr>
            <w:rStyle w:val="NabdkadatumChar"/>
          </w:rPr>
        </w:sdtEndPr>
        <w:sdtContent>
          <w:r w:rsidR="00B83062" w:rsidRPr="00430774">
            <w:rPr>
              <w:rStyle w:val="NabdkadatumChar"/>
              <w:rFonts w:ascii="Times New Roman" w:eastAsiaTheme="minorEastAsia" w:hAnsi="Times New Roman"/>
              <w:b w:val="0"/>
              <w:bCs/>
              <w:sz w:val="24"/>
              <w:lang w:val="en-US"/>
            </w:rPr>
            <w:t>CHPP 1, Riga</w:t>
          </w:r>
        </w:sdtContent>
      </w:sdt>
      <w:r w:rsidR="00B83062" w:rsidRPr="00430774">
        <w:rPr>
          <w:rStyle w:val="NabdkadatumChar"/>
          <w:rFonts w:ascii="Times New Roman" w:eastAsiaTheme="minorEastAsia" w:hAnsi="Times New Roman"/>
          <w:b w:val="0"/>
          <w:bCs/>
          <w:sz w:val="24"/>
          <w:lang w:val="en-US"/>
        </w:rPr>
        <w:t>,</w:t>
      </w:r>
      <w:r w:rsidR="00B83062" w:rsidRPr="00430774">
        <w:rPr>
          <w:b/>
          <w:bCs/>
          <w:lang w:val="en-US"/>
        </w:rPr>
        <w:t xml:space="preserve"> </w:t>
      </w:r>
      <w:sdt>
        <w:sdtPr>
          <w:rPr>
            <w:rStyle w:val="NabdkadatumChar"/>
            <w:rFonts w:ascii="Times New Roman" w:eastAsiaTheme="minorEastAsia" w:hAnsi="Times New Roman"/>
            <w:b w:val="0"/>
            <w:bCs/>
            <w:sz w:val="24"/>
            <w:lang w:val="en-US"/>
          </w:rPr>
          <w:id w:val="844828372"/>
          <w:placeholder>
            <w:docPart w:val="25716F4BF0934E32A3D3F7F57AC3B702"/>
          </w:placeholder>
          <w:date w:fullDate="2023-01-09T00:00:00Z">
            <w:dateFormat w:val="d. M. yyyy"/>
            <w:lid w:val="cs-CZ"/>
            <w:storeMappedDataAs w:val="dateTime"/>
            <w:calendar w:val="gregorian"/>
          </w:date>
        </w:sdtPr>
        <w:sdtEndPr>
          <w:rPr>
            <w:rStyle w:val="NabdkadatumChar"/>
          </w:rPr>
        </w:sdtEndPr>
        <w:sdtContent>
          <w:r w:rsidR="00B83062" w:rsidRPr="00430774">
            <w:rPr>
              <w:rStyle w:val="NabdkadatumChar"/>
              <w:rFonts w:ascii="Times New Roman" w:eastAsiaTheme="minorEastAsia" w:hAnsi="Times New Roman"/>
              <w:b w:val="0"/>
              <w:bCs/>
              <w:sz w:val="24"/>
            </w:rPr>
            <w:t>9. 1. 2023</w:t>
          </w:r>
        </w:sdtContent>
      </w:sdt>
      <w:r w:rsidR="00B83062" w:rsidRPr="00430774">
        <w:rPr>
          <w:rStyle w:val="NabdkadatumChar"/>
          <w:rFonts w:ascii="Times New Roman" w:eastAsiaTheme="minorEastAsia" w:hAnsi="Times New Roman"/>
          <w:b w:val="0"/>
          <w:bCs/>
          <w:sz w:val="24"/>
          <w:lang w:val="en-US"/>
        </w:rPr>
        <w:t>"</w:t>
      </w:r>
      <w:r w:rsidR="00E01F1D" w:rsidRPr="00430774">
        <w:t xml:space="preserve">. Objekta "TEC-1" apdrošinājuma summa </w:t>
      </w:r>
      <w:r w:rsidR="00B83062" w:rsidRPr="00430774">
        <w:t>96</w:t>
      </w:r>
      <w:r w:rsidR="00E01F1D" w:rsidRPr="00430774">
        <w:t xml:space="preserve"> 000 000 EUR</w:t>
      </w:r>
      <w:r w:rsidRPr="00430774">
        <w:t>.</w:t>
      </w:r>
    </w:p>
    <w:p w14:paraId="6A9BB5C7" w14:textId="1ABB0C55" w:rsidR="00B83062" w:rsidRPr="00430774" w:rsidRDefault="00365C24" w:rsidP="00B83062">
      <w:pPr>
        <w:pStyle w:val="ListParagraph"/>
        <w:keepNext/>
        <w:keepLines/>
        <w:numPr>
          <w:ilvl w:val="1"/>
          <w:numId w:val="2"/>
        </w:numPr>
        <w:tabs>
          <w:tab w:val="left" w:pos="426"/>
        </w:tabs>
        <w:jc w:val="both"/>
      </w:pPr>
      <w:r w:rsidRPr="00430774">
        <w:rPr>
          <w:b/>
          <w:bCs/>
        </w:rPr>
        <w:t xml:space="preserve"> </w:t>
      </w:r>
      <w:r w:rsidR="00232000" w:rsidRPr="00430774">
        <w:rPr>
          <w:b/>
          <w:bCs/>
        </w:rPr>
        <w:t>Apdrošināšanas segums</w:t>
      </w:r>
      <w:r w:rsidR="00232000" w:rsidRPr="00430774">
        <w:t xml:space="preserve">: Īpašuma </w:t>
      </w:r>
      <w:r w:rsidR="00B83062" w:rsidRPr="00430774">
        <w:t xml:space="preserve">nosaukto </w:t>
      </w:r>
      <w:r w:rsidR="00232000" w:rsidRPr="00430774">
        <w:t>risku apdrošināšana.</w:t>
      </w:r>
    </w:p>
    <w:p w14:paraId="11533CF7" w14:textId="1108B3D8" w:rsidR="00DF41C7" w:rsidRPr="00430774" w:rsidRDefault="00DF41C7" w:rsidP="00DF41C7">
      <w:pPr>
        <w:autoSpaceDE w:val="0"/>
        <w:autoSpaceDN w:val="0"/>
        <w:adjustRightInd w:val="0"/>
        <w:ind w:left="709" w:hanging="283"/>
        <w:jc w:val="both"/>
        <w:rPr>
          <w:rFonts w:eastAsiaTheme="minorHAnsi"/>
          <w:color w:val="000000"/>
        </w:rPr>
      </w:pPr>
      <w:r w:rsidRPr="00430774">
        <w:rPr>
          <w:rFonts w:eastAsiaTheme="minorHAnsi"/>
          <w:color w:val="000000"/>
        </w:rPr>
        <w:t>(a) ugunsgrēks, eksplozija, zibens spēriens, lidaparātu vai no tiem krītošu priekšmetu radīti bojājumi;</w:t>
      </w:r>
    </w:p>
    <w:p w14:paraId="41567891" w14:textId="15E82503" w:rsidR="00DF41C7" w:rsidRPr="00430774" w:rsidRDefault="00DF41C7" w:rsidP="00DF41C7">
      <w:pPr>
        <w:autoSpaceDE w:val="0"/>
        <w:autoSpaceDN w:val="0"/>
        <w:adjustRightInd w:val="0"/>
        <w:ind w:left="709" w:hanging="283"/>
        <w:jc w:val="both"/>
        <w:rPr>
          <w:rFonts w:eastAsiaTheme="minorHAnsi"/>
          <w:color w:val="000000"/>
        </w:rPr>
      </w:pPr>
      <w:r w:rsidRPr="00430774">
        <w:rPr>
          <w:rFonts w:eastAsiaTheme="minorHAnsi"/>
          <w:color w:val="000000"/>
        </w:rPr>
        <w:t>(b) plūdi, stiprs vējš, vētra, krusa, zemestrīce vai nepārtraukta snigšana;</w:t>
      </w:r>
    </w:p>
    <w:p w14:paraId="2D5C2C4B" w14:textId="05E098C5" w:rsidR="00DF41C7" w:rsidRPr="00430774" w:rsidRDefault="00DF41C7" w:rsidP="00DF41C7">
      <w:pPr>
        <w:autoSpaceDE w:val="0"/>
        <w:autoSpaceDN w:val="0"/>
        <w:adjustRightInd w:val="0"/>
        <w:ind w:left="709" w:hanging="283"/>
        <w:jc w:val="both"/>
        <w:rPr>
          <w:rFonts w:eastAsiaTheme="minorHAnsi"/>
          <w:color w:val="000000"/>
        </w:rPr>
      </w:pPr>
      <w:r w:rsidRPr="00430774">
        <w:rPr>
          <w:rFonts w:eastAsiaTheme="minorHAnsi"/>
          <w:color w:val="000000"/>
        </w:rPr>
        <w:t>(c) avārijas rezultātā radusies šķidruma vai tvaika noplūde no ūdens apgādes, kanalizācijas, apkures, ugunsdzēšanas sistēmu cauruļvadiem vai ierīcēm, kā arī no citām ēkā vai būvē izvietotām ierīcēm un cauruļvadiem;</w:t>
      </w:r>
    </w:p>
    <w:p w14:paraId="441BF603" w14:textId="0DCE9341" w:rsidR="00DF41C7" w:rsidRPr="00430774" w:rsidRDefault="00DF41C7" w:rsidP="00DF41C7">
      <w:pPr>
        <w:autoSpaceDE w:val="0"/>
        <w:autoSpaceDN w:val="0"/>
        <w:adjustRightInd w:val="0"/>
        <w:ind w:left="709" w:hanging="283"/>
        <w:jc w:val="both"/>
        <w:rPr>
          <w:rFonts w:eastAsiaTheme="minorHAnsi"/>
          <w:color w:val="000000"/>
        </w:rPr>
      </w:pPr>
      <w:r w:rsidRPr="00430774">
        <w:rPr>
          <w:rFonts w:eastAsiaTheme="minorHAnsi"/>
          <w:color w:val="000000"/>
        </w:rPr>
        <w:t>(d) trešo personu prettiesiska rīcība;</w:t>
      </w:r>
    </w:p>
    <w:p w14:paraId="5D8CEA9C" w14:textId="2CE3E0A8" w:rsidR="00E01F1D" w:rsidRPr="00430774" w:rsidRDefault="00E01F1D" w:rsidP="00DF41C7">
      <w:pPr>
        <w:widowControl w:val="0"/>
        <w:numPr>
          <w:ilvl w:val="1"/>
          <w:numId w:val="2"/>
        </w:numPr>
        <w:tabs>
          <w:tab w:val="left" w:pos="426"/>
        </w:tabs>
        <w:ind w:left="426" w:hanging="426"/>
        <w:jc w:val="both"/>
      </w:pPr>
      <w:r w:rsidRPr="00430774">
        <w:t xml:space="preserve">Saskaņā ar Pretendenta piedāvājumu, apdrošināšanas atlīdzība bojājumu vai zaudējumu gadījumā tiek aprēķināta atbilstoši Pretendenta apdrošināšanas noteikumu nosacījumiem un: </w:t>
      </w:r>
    </w:p>
    <w:p w14:paraId="02113DA4" w14:textId="77777777" w:rsidR="00E01F1D" w:rsidRPr="00430774" w:rsidRDefault="00E01F1D" w:rsidP="00E01F1D">
      <w:pPr>
        <w:widowControl w:val="0"/>
        <w:numPr>
          <w:ilvl w:val="2"/>
          <w:numId w:val="2"/>
        </w:numPr>
        <w:ind w:left="1134" w:hanging="709"/>
        <w:jc w:val="both"/>
      </w:pPr>
      <w:r w:rsidRPr="00430774">
        <w:t>Maksimālais zaudējumu atlīdzības limits apdrošināšanas gadījumā –noteiktais limits objektam;</w:t>
      </w:r>
    </w:p>
    <w:p w14:paraId="6A765D52" w14:textId="77777777" w:rsidR="00E01F1D" w:rsidRPr="00430774" w:rsidRDefault="00E01F1D" w:rsidP="00E01F1D">
      <w:pPr>
        <w:widowControl w:val="0"/>
        <w:numPr>
          <w:ilvl w:val="2"/>
          <w:numId w:val="2"/>
        </w:numPr>
        <w:ind w:left="1134" w:hanging="709"/>
        <w:jc w:val="both"/>
      </w:pPr>
      <w:r w:rsidRPr="00430774">
        <w:t>Pamatlīdzekļa bojājuma vai daļēja zaudējuma gadījumā – remonta izdevumi pamatlīdzekļa atjaunošanas vērtībā. Atjaunošanas vērtība ir definēta – izdevumi, kas radušies veicot bojātās iekārtas atjaunošanas darbus vai nomainot iekārtas.</w:t>
      </w:r>
    </w:p>
    <w:p w14:paraId="7E3DF8E9" w14:textId="7C1B1AC7" w:rsidR="00932EC1" w:rsidRPr="00430774" w:rsidRDefault="00932EC1" w:rsidP="00932EC1">
      <w:pPr>
        <w:widowControl w:val="0"/>
        <w:numPr>
          <w:ilvl w:val="1"/>
          <w:numId w:val="2"/>
        </w:numPr>
        <w:tabs>
          <w:tab w:val="left" w:pos="426"/>
        </w:tabs>
        <w:ind w:left="426" w:hanging="426"/>
        <w:jc w:val="both"/>
      </w:pPr>
      <w:r w:rsidRPr="00430774">
        <w:rPr>
          <w:iCs/>
          <w:lang w:eastAsia="lv-LV"/>
        </w:rPr>
        <w:t xml:space="preserve">Gadījumā, ja Pretendenta piedāvājums paredz citas prasības apdrošinājuma ņēmējam attiecībā uz pienākumu līguma darbības laikā ziņot par apstākļiem, kuri </w:t>
      </w:r>
      <w:r w:rsidRPr="00430774">
        <w:t xml:space="preserve">var ievērojami palielināt apdrošinātā riska iestāšanās iespējamību vai varbūtējo zaudējumu apjomu, nekā norādīts apakšpunktos </w:t>
      </w:r>
      <w:r w:rsidR="00DF7271">
        <w:t>1.6</w:t>
      </w:r>
      <w:r w:rsidRPr="00430774">
        <w:t xml:space="preserve">.1 – </w:t>
      </w:r>
      <w:r w:rsidR="00DF7271">
        <w:t>1.6</w:t>
      </w:r>
      <w:r w:rsidRPr="00430774">
        <w:t>.6 zemāk, attiecīgajām prasībām ir jābūt skaidri norādītām Pretendenta piedāvājumā un Pretendenta prasības tiks ņemtas vērā piedāvājuma kvalitātes vērtējumā. Apstākļi, par kuriem ir jāpaziņo apdrošināšanas sabiedrībai ietver</w:t>
      </w:r>
      <w:r w:rsidRPr="00430774">
        <w:rPr>
          <w:iCs/>
          <w:lang w:eastAsia="lv-LV"/>
        </w:rPr>
        <w:t>:</w:t>
      </w:r>
    </w:p>
    <w:p w14:paraId="2A830D1D" w14:textId="77777777" w:rsidR="00932EC1" w:rsidRPr="00430774" w:rsidRDefault="00932EC1" w:rsidP="00932EC1">
      <w:pPr>
        <w:widowControl w:val="0"/>
        <w:numPr>
          <w:ilvl w:val="2"/>
          <w:numId w:val="2"/>
        </w:numPr>
        <w:tabs>
          <w:tab w:val="left" w:pos="426"/>
        </w:tabs>
        <w:jc w:val="both"/>
      </w:pPr>
      <w:r w:rsidRPr="00430774">
        <w:rPr>
          <w:color w:val="000000"/>
        </w:rPr>
        <w:t>Tiek uzsākti būvniecības darbi objektā vai objekta teritorijā, ja par šādu darbu veikšanu saskaņā ar spēkā esošajiem normatīvajiem aktiem ir nepieciešama būvatļauja;</w:t>
      </w:r>
    </w:p>
    <w:p w14:paraId="009ADECA" w14:textId="77777777" w:rsidR="00932EC1" w:rsidRPr="00430774" w:rsidRDefault="00932EC1" w:rsidP="00932EC1">
      <w:pPr>
        <w:widowControl w:val="0"/>
        <w:numPr>
          <w:ilvl w:val="2"/>
          <w:numId w:val="2"/>
        </w:numPr>
        <w:tabs>
          <w:tab w:val="left" w:pos="426"/>
        </w:tabs>
        <w:jc w:val="both"/>
      </w:pPr>
      <w:r w:rsidRPr="00430774">
        <w:rPr>
          <w:color w:val="000000"/>
        </w:rPr>
        <w:t xml:space="preserve">Tiek uzsākti </w:t>
      </w:r>
      <w:proofErr w:type="spellStart"/>
      <w:r w:rsidRPr="00430774">
        <w:rPr>
          <w:color w:val="000000"/>
        </w:rPr>
        <w:t>pamatiekārtu</w:t>
      </w:r>
      <w:proofErr w:type="spellEnd"/>
      <w:r w:rsidRPr="00430774">
        <w:rPr>
          <w:color w:val="000000"/>
        </w:rPr>
        <w:t xml:space="preserve"> ( "</w:t>
      </w:r>
      <w:proofErr w:type="spellStart"/>
      <w:r w:rsidRPr="00430774">
        <w:rPr>
          <w:color w:val="000000"/>
        </w:rPr>
        <w:t>pamatiekārta</w:t>
      </w:r>
      <w:proofErr w:type="spellEnd"/>
      <w:r w:rsidRPr="00430774">
        <w:rPr>
          <w:color w:val="000000"/>
        </w:rPr>
        <w:t xml:space="preserve">" ietver:  gāzes turbīna ar ģeneratoru, tvaika turbīna ar ģeneratoru, katls </w:t>
      </w:r>
      <w:proofErr w:type="spellStart"/>
      <w:r w:rsidRPr="00430774">
        <w:rPr>
          <w:color w:val="000000"/>
        </w:rPr>
        <w:t>utilizators</w:t>
      </w:r>
      <w:proofErr w:type="spellEnd"/>
      <w:r w:rsidRPr="00430774">
        <w:rPr>
          <w:color w:val="000000"/>
        </w:rPr>
        <w:t xml:space="preserve">, ūdens </w:t>
      </w:r>
      <w:proofErr w:type="spellStart"/>
      <w:r w:rsidRPr="00430774">
        <w:rPr>
          <w:color w:val="000000"/>
        </w:rPr>
        <w:t>sildkatls</w:t>
      </w:r>
      <w:proofErr w:type="spellEnd"/>
      <w:r w:rsidRPr="00430774">
        <w:rPr>
          <w:color w:val="000000"/>
        </w:rPr>
        <w:t xml:space="preserve">, transformators) kapitālie remonti (atjaunošanas remonti) vai pārbūves darbi, </w:t>
      </w:r>
      <w:r w:rsidRPr="00430774">
        <w:rPr>
          <w:color w:val="000000"/>
          <w:u w:val="single"/>
        </w:rPr>
        <w:t>izņemot</w:t>
      </w:r>
      <w:r w:rsidRPr="00430774">
        <w:rPr>
          <w:color w:val="000000"/>
        </w:rPr>
        <w:t xml:space="preserve"> plānveida tehniskās apkopes darbus vai </w:t>
      </w:r>
      <w:r w:rsidRPr="00430774">
        <w:rPr>
          <w:color w:val="000000"/>
        </w:rPr>
        <w:lastRenderedPageBreak/>
        <w:t>uzturēšanas remontdarbus, kas nepieciešami, lai iekārtas uzturētu atbilstošā tehniskajā kārtībā;</w:t>
      </w:r>
    </w:p>
    <w:p w14:paraId="5061A946" w14:textId="77777777" w:rsidR="00932EC1" w:rsidRPr="00430774" w:rsidRDefault="00932EC1" w:rsidP="00932EC1">
      <w:pPr>
        <w:widowControl w:val="0"/>
        <w:numPr>
          <w:ilvl w:val="2"/>
          <w:numId w:val="2"/>
        </w:numPr>
        <w:tabs>
          <w:tab w:val="left" w:pos="426"/>
        </w:tabs>
        <w:jc w:val="both"/>
      </w:pPr>
      <w:r w:rsidRPr="00430774">
        <w:rPr>
          <w:color w:val="000000"/>
        </w:rPr>
        <w:t>Ir konstatēts spēkā esošajos normatīvajos aktos noteikto ugunsdrošības vai būvniecības normu vai prasību pārkāpums, kā rezultātā objekta bojājuma vai zaudējuma risks ir kļuvis lielāks;</w:t>
      </w:r>
    </w:p>
    <w:p w14:paraId="4DA7BD9E" w14:textId="77777777" w:rsidR="00932EC1" w:rsidRPr="00430774" w:rsidRDefault="00932EC1" w:rsidP="00932EC1">
      <w:pPr>
        <w:widowControl w:val="0"/>
        <w:numPr>
          <w:ilvl w:val="2"/>
          <w:numId w:val="2"/>
        </w:numPr>
        <w:tabs>
          <w:tab w:val="left" w:pos="426"/>
        </w:tabs>
        <w:jc w:val="both"/>
      </w:pPr>
      <w:r w:rsidRPr="00430774">
        <w:rPr>
          <w:color w:val="000000"/>
        </w:rPr>
        <w:t>Ilgāk nekā uz 24 stundām atslēgtas automātiskās ugunsdzēšanas sistēmas;</w:t>
      </w:r>
    </w:p>
    <w:p w14:paraId="37223DE0" w14:textId="77777777" w:rsidR="00932EC1" w:rsidRPr="00430774" w:rsidRDefault="00932EC1" w:rsidP="00932EC1">
      <w:pPr>
        <w:widowControl w:val="0"/>
        <w:numPr>
          <w:ilvl w:val="2"/>
          <w:numId w:val="2"/>
        </w:numPr>
        <w:tabs>
          <w:tab w:val="left" w:pos="426"/>
        </w:tabs>
        <w:jc w:val="both"/>
      </w:pPr>
      <w:r w:rsidRPr="00430774">
        <w:rPr>
          <w:color w:val="000000"/>
        </w:rPr>
        <w:t>Ilgāk kā uz 1 nedēļu atvienota vai atslēgta ugunsdrošības vai fiziskās drošības signalizācija vai būtiski samazināts objekta fiziskās apsardzes apjoms;</w:t>
      </w:r>
    </w:p>
    <w:p w14:paraId="37AC8E4C" w14:textId="77777777" w:rsidR="00932EC1" w:rsidRPr="00430774" w:rsidRDefault="00932EC1" w:rsidP="00932EC1">
      <w:pPr>
        <w:widowControl w:val="0"/>
        <w:numPr>
          <w:ilvl w:val="2"/>
          <w:numId w:val="2"/>
        </w:numPr>
        <w:tabs>
          <w:tab w:val="left" w:pos="426"/>
        </w:tabs>
        <w:jc w:val="both"/>
      </w:pPr>
      <w:r w:rsidRPr="00430774">
        <w:rPr>
          <w:color w:val="000000"/>
        </w:rPr>
        <w:t xml:space="preserve">Ir pieņemts lēmums par būtiskām izmaiņām </w:t>
      </w:r>
      <w:proofErr w:type="spellStart"/>
      <w:r w:rsidRPr="00430774">
        <w:rPr>
          <w:color w:val="000000"/>
        </w:rPr>
        <w:t>pamatiekārtu</w:t>
      </w:r>
      <w:proofErr w:type="spellEnd"/>
      <w:r w:rsidRPr="00430774">
        <w:rPr>
          <w:color w:val="000000"/>
        </w:rPr>
        <w:t xml:space="preserve"> plānotajā servisa-apkopes grafikā, ir pieņemts lēmums mainīt </w:t>
      </w:r>
      <w:proofErr w:type="spellStart"/>
      <w:r w:rsidRPr="00430774">
        <w:rPr>
          <w:color w:val="000000"/>
        </w:rPr>
        <w:t>pamatiekārtu</w:t>
      </w:r>
      <w:proofErr w:type="spellEnd"/>
      <w:r w:rsidRPr="00430774">
        <w:rPr>
          <w:color w:val="000000"/>
        </w:rPr>
        <w:t xml:space="preserve"> servisa-apkopes pakalpojumu sniedzēju.</w:t>
      </w:r>
    </w:p>
    <w:p w14:paraId="71DBBDDE" w14:textId="77777777" w:rsidR="00932EC1" w:rsidRPr="00430774" w:rsidRDefault="00932EC1" w:rsidP="00932EC1">
      <w:pPr>
        <w:widowControl w:val="0"/>
        <w:numPr>
          <w:ilvl w:val="1"/>
          <w:numId w:val="2"/>
        </w:numPr>
        <w:tabs>
          <w:tab w:val="left" w:pos="426"/>
        </w:tabs>
        <w:ind w:left="426" w:hanging="426"/>
        <w:jc w:val="both"/>
      </w:pPr>
      <w:r w:rsidRPr="00430774">
        <w:t>Saskaņā ar piedāvājumu Pretendents piekrīt, ka apdrošinātā īpašuma bojājuma/zaudējuma gadījumā Apdrošinājuma ņēmējs ir tiesīgs nekavējoties uzsākt darbus ar mērķi operatīvi atjaunot tehnoloģisko procesu, ja:</w:t>
      </w:r>
    </w:p>
    <w:p w14:paraId="160FD9B3" w14:textId="77777777" w:rsidR="00932EC1" w:rsidRPr="00430774" w:rsidRDefault="00932EC1" w:rsidP="00932EC1">
      <w:pPr>
        <w:widowControl w:val="0"/>
        <w:numPr>
          <w:ilvl w:val="2"/>
          <w:numId w:val="2"/>
        </w:numPr>
        <w:tabs>
          <w:tab w:val="left" w:pos="426"/>
        </w:tabs>
        <w:jc w:val="both"/>
      </w:pPr>
      <w:r w:rsidRPr="00430774">
        <w:t>Apdrošinājuma ņēmējs ir paziņojis Apdrošinātājam par īpašuma bojājuma/zaudējuma gadījumu;</w:t>
      </w:r>
    </w:p>
    <w:p w14:paraId="791F58CD" w14:textId="77777777" w:rsidR="00932EC1" w:rsidRPr="00430774" w:rsidRDefault="00932EC1" w:rsidP="00932EC1">
      <w:pPr>
        <w:widowControl w:val="0"/>
        <w:numPr>
          <w:ilvl w:val="2"/>
          <w:numId w:val="2"/>
        </w:numPr>
        <w:tabs>
          <w:tab w:val="left" w:pos="426"/>
        </w:tabs>
        <w:jc w:val="both"/>
      </w:pPr>
      <w:r w:rsidRPr="00430774">
        <w:t>Ir veikta negadījuma vietas un negadījuma seku foto un/vai video fiksācija;</w:t>
      </w:r>
    </w:p>
    <w:p w14:paraId="429EBA31" w14:textId="77777777" w:rsidR="00932EC1" w:rsidRPr="00430774" w:rsidRDefault="00932EC1" w:rsidP="00932EC1">
      <w:pPr>
        <w:widowControl w:val="0"/>
        <w:numPr>
          <w:ilvl w:val="2"/>
          <w:numId w:val="2"/>
        </w:numPr>
        <w:tabs>
          <w:tab w:val="left" w:pos="426"/>
        </w:tabs>
        <w:jc w:val="both"/>
      </w:pPr>
      <w:r w:rsidRPr="00430774">
        <w:t>Ir veikta bojātā īpašuma izņemšana un droša saglabāšana tādā veidā, lai tas netiktu bojāts papildus un lai varētu nodrošināt vēlāku ekspertīzes veikšanu;</w:t>
      </w:r>
    </w:p>
    <w:p w14:paraId="5E59BE3E" w14:textId="77777777" w:rsidR="00932EC1" w:rsidRPr="00430774" w:rsidRDefault="00932EC1" w:rsidP="00932EC1">
      <w:pPr>
        <w:widowControl w:val="0"/>
        <w:numPr>
          <w:ilvl w:val="2"/>
          <w:numId w:val="2"/>
        </w:numPr>
        <w:tabs>
          <w:tab w:val="left" w:pos="426"/>
        </w:tabs>
        <w:jc w:val="both"/>
      </w:pPr>
      <w:r w:rsidRPr="00430774">
        <w:t>Netiek veiktas nekādas citas izmaiņas attiecībā uz bojāto lietu vai notikuma vietu, kas varētu ietekmēt zaudējuma iestāšanās cēloņa vai zaudējuma apjoma noteikšanu, izņemot tās, kas ir minimālās obligāti nepieciešamās zaudējuma samazināšanai vai tehnoloģiskā procesa operatīvai atjaunošanai.</w:t>
      </w:r>
    </w:p>
    <w:p w14:paraId="44D348B7" w14:textId="77777777" w:rsidR="005766AC" w:rsidRPr="00430774" w:rsidRDefault="005766AC"/>
    <w:sectPr w:rsidR="005766AC" w:rsidRPr="004307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utch TL">
    <w:altName w:val="Times New Roman"/>
    <w:charset w:val="BA"/>
    <w:family w:val="roman"/>
    <w:pitch w:val="variable"/>
    <w:sig w:usb0="00000001" w:usb1="5000204A" w:usb2="00000000" w:usb3="00000000" w:csb0="0000009F" w:csb1="00000000"/>
  </w:font>
  <w:font w:name="Georgia">
    <w:panose1 w:val="020405020504050203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57C5"/>
    <w:multiLevelType w:val="singleLevel"/>
    <w:tmpl w:val="0C090019"/>
    <w:lvl w:ilvl="0">
      <w:start w:val="1"/>
      <w:numFmt w:val="lowerLetter"/>
      <w:lvlText w:val="(%1)"/>
      <w:lvlJc w:val="left"/>
      <w:pPr>
        <w:tabs>
          <w:tab w:val="num" w:pos="360"/>
        </w:tabs>
        <w:ind w:left="360" w:hanging="360"/>
      </w:pPr>
      <w:rPr>
        <w:rFonts w:hint="default"/>
      </w:rPr>
    </w:lvl>
  </w:abstractNum>
  <w:abstractNum w:abstractNumId="1" w15:restartNumberingAfterBreak="0">
    <w:nsid w:val="66C01EC9"/>
    <w:multiLevelType w:val="multilevel"/>
    <w:tmpl w:val="5AA27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91E015C"/>
    <w:multiLevelType w:val="multilevel"/>
    <w:tmpl w:val="125CCC1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34170380">
    <w:abstractNumId w:val="3"/>
  </w:num>
  <w:num w:numId="2" w16cid:durableId="322321374">
    <w:abstractNumId w:val="1"/>
  </w:num>
  <w:num w:numId="3" w16cid:durableId="66466366">
    <w:abstractNumId w:val="0"/>
  </w:num>
  <w:num w:numId="4" w16cid:durableId="2071726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1D"/>
    <w:rsid w:val="00087B17"/>
    <w:rsid w:val="001478CD"/>
    <w:rsid w:val="001B1BE4"/>
    <w:rsid w:val="00221B6E"/>
    <w:rsid w:val="00232000"/>
    <w:rsid w:val="002B57A2"/>
    <w:rsid w:val="00364802"/>
    <w:rsid w:val="00365C24"/>
    <w:rsid w:val="00430774"/>
    <w:rsid w:val="005766AC"/>
    <w:rsid w:val="0076024D"/>
    <w:rsid w:val="00861486"/>
    <w:rsid w:val="00862820"/>
    <w:rsid w:val="00932EC1"/>
    <w:rsid w:val="00AF4E16"/>
    <w:rsid w:val="00B83062"/>
    <w:rsid w:val="00B96485"/>
    <w:rsid w:val="00DF41C7"/>
    <w:rsid w:val="00DF7271"/>
    <w:rsid w:val="00E01F1D"/>
    <w:rsid w:val="00E77323"/>
    <w:rsid w:val="00EB798C"/>
    <w:rsid w:val="00EC4A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72D4"/>
  <w15:chartTrackingRefBased/>
  <w15:docId w15:val="{4AD7A2B2-186D-459C-B419-1A26B069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1D"/>
    <w:pPr>
      <w:spacing w:after="0" w:line="240" w:lineRule="auto"/>
    </w:pPr>
    <w:rPr>
      <w:rFonts w:ascii="Times New Roman" w:eastAsia="Times New Roman" w:hAnsi="Times New Roman" w:cs="Times New Roman"/>
      <w:sz w:val="24"/>
      <w:szCs w:val="24"/>
    </w:rPr>
  </w:style>
  <w:style w:type="paragraph" w:styleId="Heading1">
    <w:name w:val="heading 1"/>
    <w:aliases w:val="H1,Section Heading,heading1,Antraste 1,h1"/>
    <w:basedOn w:val="Normal"/>
    <w:next w:val="Normal"/>
    <w:link w:val="Heading1Char"/>
    <w:qFormat/>
    <w:rsid w:val="00E01F1D"/>
    <w:pPr>
      <w:keepNext/>
      <w:numPr>
        <w:numId w:val="1"/>
      </w:numPr>
      <w:spacing w:before="240" w:after="60"/>
      <w:outlineLvl w:val="0"/>
    </w:pPr>
    <w:rPr>
      <w:rFonts w:cs="Arial"/>
      <w:b/>
      <w:bCs/>
      <w:kern w:val="32"/>
      <w:sz w:val="32"/>
      <w:szCs w:val="32"/>
      <w:lang w:val="en-GB"/>
    </w:rPr>
  </w:style>
  <w:style w:type="paragraph" w:styleId="Heading2">
    <w:name w:val="heading 2"/>
    <w:aliases w:val="HD2,Heading 2 Char Char,HD2 + Not Bold,Right,Left:  0 cm,First line:  0 cm"/>
    <w:basedOn w:val="Normal"/>
    <w:next w:val="Normal"/>
    <w:link w:val="Heading2Char1"/>
    <w:qFormat/>
    <w:rsid w:val="00E01F1D"/>
    <w:pPr>
      <w:keepNext/>
      <w:numPr>
        <w:ilvl w:val="1"/>
        <w:numId w:val="1"/>
      </w:numPr>
      <w:spacing w:before="240" w:after="60"/>
      <w:outlineLvl w:val="1"/>
    </w:pPr>
    <w:rPr>
      <w:rFonts w:cs="Arial"/>
      <w:iCs/>
      <w:sz w:val="22"/>
      <w:szCs w:val="28"/>
      <w:lang w:val="en-US"/>
    </w:rPr>
  </w:style>
  <w:style w:type="paragraph" w:styleId="Heading3">
    <w:name w:val="heading 3"/>
    <w:aliases w:val="heading 3 + Indent: Left 0.25 in Char,heading 3 Char,3 Char,E3 Char,Heading 3. Char,H3 Char,h3 Char,l3+toc 3 Char,l3 Char,CT Char,Sub-section Title Char,Heading 3 Char2"/>
    <w:basedOn w:val="Normal"/>
    <w:next w:val="Normal"/>
    <w:link w:val="Heading3Char"/>
    <w:qFormat/>
    <w:rsid w:val="00E01F1D"/>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link w:val="Heading4Char"/>
    <w:uiPriority w:val="9"/>
    <w:qFormat/>
    <w:rsid w:val="00E01F1D"/>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E01F1D"/>
    <w:pPr>
      <w:numPr>
        <w:ilvl w:val="4"/>
        <w:numId w:val="1"/>
      </w:numPr>
      <w:spacing w:before="240" w:after="60"/>
      <w:outlineLvl w:val="4"/>
    </w:pPr>
    <w:rPr>
      <w:b/>
      <w:bCs/>
      <w:i/>
      <w:iCs/>
      <w:sz w:val="26"/>
      <w:szCs w:val="26"/>
      <w:lang w:val="en-GB"/>
    </w:rPr>
  </w:style>
  <w:style w:type="paragraph" w:styleId="Heading6">
    <w:name w:val="heading 6"/>
    <w:basedOn w:val="Normal"/>
    <w:next w:val="Normal"/>
    <w:link w:val="Heading6Char"/>
    <w:qFormat/>
    <w:rsid w:val="00E01F1D"/>
    <w:pPr>
      <w:numPr>
        <w:ilvl w:val="5"/>
        <w:numId w:val="1"/>
      </w:numPr>
      <w:spacing w:before="240" w:after="60"/>
      <w:outlineLvl w:val="5"/>
    </w:pPr>
    <w:rPr>
      <w:b/>
      <w:bCs/>
      <w:sz w:val="22"/>
      <w:szCs w:val="22"/>
      <w:lang w:val="en-GB"/>
    </w:rPr>
  </w:style>
  <w:style w:type="paragraph" w:styleId="Heading7">
    <w:name w:val="heading 7"/>
    <w:basedOn w:val="Normal"/>
    <w:next w:val="Normal"/>
    <w:link w:val="Heading7Char"/>
    <w:qFormat/>
    <w:rsid w:val="00E01F1D"/>
    <w:pPr>
      <w:numPr>
        <w:ilvl w:val="6"/>
        <w:numId w:val="1"/>
      </w:numPr>
      <w:spacing w:before="240" w:after="60"/>
      <w:outlineLvl w:val="6"/>
    </w:pPr>
    <w:rPr>
      <w:lang w:val="en-GB"/>
    </w:rPr>
  </w:style>
  <w:style w:type="paragraph" w:styleId="Heading8">
    <w:name w:val="heading 8"/>
    <w:basedOn w:val="Normal"/>
    <w:next w:val="Normal"/>
    <w:link w:val="Heading8Char"/>
    <w:qFormat/>
    <w:rsid w:val="00E01F1D"/>
    <w:pPr>
      <w:numPr>
        <w:ilvl w:val="7"/>
        <w:numId w:val="1"/>
      </w:numPr>
      <w:spacing w:before="240" w:after="60"/>
      <w:outlineLvl w:val="7"/>
    </w:pPr>
    <w:rPr>
      <w:i/>
      <w:iCs/>
      <w:lang w:val="en-GB"/>
    </w:rPr>
  </w:style>
  <w:style w:type="paragraph" w:styleId="Heading9">
    <w:name w:val="heading 9"/>
    <w:basedOn w:val="Normal"/>
    <w:next w:val="Normal"/>
    <w:link w:val="Heading9Char"/>
    <w:qFormat/>
    <w:rsid w:val="00E01F1D"/>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E01F1D"/>
    <w:rPr>
      <w:rFonts w:ascii="Times New Roman" w:eastAsia="Times New Roman" w:hAnsi="Times New Roman" w:cs="Arial"/>
      <w:b/>
      <w:bCs/>
      <w:kern w:val="32"/>
      <w:sz w:val="32"/>
      <w:szCs w:val="32"/>
      <w:lang w:val="en-GB"/>
    </w:rPr>
  </w:style>
  <w:style w:type="character" w:customStyle="1" w:styleId="Heading2Char">
    <w:name w:val="Heading 2 Char"/>
    <w:basedOn w:val="DefaultParagraphFont"/>
    <w:uiPriority w:val="9"/>
    <w:semiHidden/>
    <w:rsid w:val="00E01F1D"/>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heading 3 + Indent: Left 0.25 in Char Char,heading 3 Char Char,3 Char Char,E3 Char Char,Heading 3. Char Char,H3 Char Char,h3 Char Char,l3+toc 3 Char Char,l3 Char Char,CT Char Char,Sub-section Title Char Char,Heading 3 Char2 Char"/>
    <w:basedOn w:val="DefaultParagraphFont"/>
    <w:link w:val="Heading3"/>
    <w:rsid w:val="00E01F1D"/>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uiPriority w:val="9"/>
    <w:rsid w:val="00E01F1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E01F1D"/>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E01F1D"/>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E01F1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E01F1D"/>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E01F1D"/>
    <w:rPr>
      <w:rFonts w:ascii="Arial" w:eastAsia="Times New Roman" w:hAnsi="Arial" w:cs="Arial"/>
      <w:lang w:val="en-GB"/>
    </w:rPr>
  </w:style>
  <w:style w:type="character" w:customStyle="1" w:styleId="Heading2Char1">
    <w:name w:val="Heading 2 Char1"/>
    <w:aliases w:val="HD2 Char,Heading 2 Char Char Char,HD2 + Not Bold Char,Right Char,Left:  0 cm Char,First line:  0 cm Char"/>
    <w:link w:val="Heading2"/>
    <w:rsid w:val="00E01F1D"/>
    <w:rPr>
      <w:rFonts w:ascii="Times New Roman" w:eastAsia="Times New Roman" w:hAnsi="Times New Roman" w:cs="Arial"/>
      <w:iCs/>
      <w:szCs w:val="28"/>
      <w:lang w:val="en-US"/>
    </w:rPr>
  </w:style>
  <w:style w:type="paragraph" w:styleId="Title">
    <w:name w:val="Title"/>
    <w:basedOn w:val="Normal"/>
    <w:link w:val="TitleChar1"/>
    <w:qFormat/>
    <w:rsid w:val="00E01F1D"/>
    <w:pPr>
      <w:jc w:val="center"/>
    </w:pPr>
    <w:rPr>
      <w:rFonts w:ascii="Dutch TL" w:hAnsi="Dutch TL"/>
      <w:b/>
      <w:sz w:val="48"/>
      <w:szCs w:val="20"/>
      <w:lang w:val="en-GB"/>
    </w:rPr>
  </w:style>
  <w:style w:type="character" w:customStyle="1" w:styleId="TitleChar">
    <w:name w:val="Title Char"/>
    <w:basedOn w:val="DefaultParagraphFont"/>
    <w:uiPriority w:val="10"/>
    <w:rsid w:val="00E01F1D"/>
    <w:rPr>
      <w:rFonts w:asciiTheme="majorHAnsi" w:eastAsiaTheme="majorEastAsia" w:hAnsiTheme="majorHAnsi" w:cstheme="majorBidi"/>
      <w:spacing w:val="-10"/>
      <w:kern w:val="28"/>
      <w:sz w:val="56"/>
      <w:szCs w:val="56"/>
    </w:rPr>
  </w:style>
  <w:style w:type="character" w:customStyle="1" w:styleId="TitleChar1">
    <w:name w:val="Title Char1"/>
    <w:link w:val="Title"/>
    <w:locked/>
    <w:rsid w:val="00E01F1D"/>
    <w:rPr>
      <w:rFonts w:ascii="Dutch TL" w:eastAsia="Times New Roman" w:hAnsi="Dutch TL" w:cs="Times New Roman"/>
      <w:b/>
      <w:sz w:val="48"/>
      <w:szCs w:val="20"/>
      <w:lang w:val="en-GB"/>
    </w:rPr>
  </w:style>
  <w:style w:type="paragraph" w:customStyle="1" w:styleId="Nabdkadatum">
    <w:name w:val="Nabídka_datum"/>
    <w:basedOn w:val="Normal"/>
    <w:link w:val="NabdkadatumChar"/>
    <w:qFormat/>
    <w:rsid w:val="00B83062"/>
    <w:rPr>
      <w:rFonts w:ascii="Georgia" w:hAnsi="Georgia"/>
      <w:b/>
      <w:color w:val="000000" w:themeColor="text1"/>
      <w:sz w:val="32"/>
      <w:shd w:val="clear" w:color="auto" w:fill="FFFFFF"/>
      <w:lang w:val="cs-CZ" w:eastAsia="cs-CZ"/>
    </w:rPr>
  </w:style>
  <w:style w:type="character" w:customStyle="1" w:styleId="NabdkadatumChar">
    <w:name w:val="Nabídka_datum Char"/>
    <w:basedOn w:val="DefaultParagraphFont"/>
    <w:link w:val="Nabdkadatum"/>
    <w:rsid w:val="00B83062"/>
    <w:rPr>
      <w:rFonts w:ascii="Georgia" w:eastAsia="Times New Roman" w:hAnsi="Georgia" w:cs="Times New Roman"/>
      <w:b/>
      <w:color w:val="000000" w:themeColor="text1"/>
      <w:sz w:val="32"/>
      <w:szCs w:val="24"/>
      <w:lang w:val="cs-CZ" w:eastAsia="cs-CZ"/>
    </w:rPr>
  </w:style>
  <w:style w:type="paragraph" w:styleId="ListParagraph">
    <w:name w:val="List Paragraph"/>
    <w:basedOn w:val="Normal"/>
    <w:uiPriority w:val="34"/>
    <w:qFormat/>
    <w:rsid w:val="00B83062"/>
    <w:pPr>
      <w:ind w:left="720"/>
      <w:contextualSpacing/>
    </w:pPr>
  </w:style>
  <w:style w:type="paragraph" w:styleId="Revision">
    <w:name w:val="Revision"/>
    <w:hidden/>
    <w:uiPriority w:val="99"/>
    <w:semiHidden/>
    <w:rsid w:val="0086282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F420704B9548B2B6E25ACA3B04C3C3"/>
        <w:category>
          <w:name w:val="General"/>
          <w:gallery w:val="placeholder"/>
        </w:category>
        <w:types>
          <w:type w:val="bbPlcHdr"/>
        </w:types>
        <w:behaviors>
          <w:behavior w:val="content"/>
        </w:behaviors>
        <w:guid w:val="{2607C5C1-8F27-4753-B61B-AD56BB1E69F3}"/>
      </w:docPartPr>
      <w:docPartBody>
        <w:p w:rsidR="00EE0B07" w:rsidRDefault="00F5790B" w:rsidP="00F5790B">
          <w:pPr>
            <w:pStyle w:val="D6F420704B9548B2B6E25ACA3B04C3C3"/>
          </w:pPr>
          <w:r w:rsidRPr="00D070C9">
            <w:rPr>
              <w:rStyle w:val="NabdkadatumChar"/>
              <w:rFonts w:eastAsiaTheme="minorEastAsia"/>
            </w:rPr>
            <w:t>Zadejte město</w:t>
          </w:r>
        </w:p>
      </w:docPartBody>
    </w:docPart>
    <w:docPart>
      <w:docPartPr>
        <w:name w:val="25716F4BF0934E32A3D3F7F57AC3B702"/>
        <w:category>
          <w:name w:val="General"/>
          <w:gallery w:val="placeholder"/>
        </w:category>
        <w:types>
          <w:type w:val="bbPlcHdr"/>
        </w:types>
        <w:behaviors>
          <w:behavior w:val="content"/>
        </w:behaviors>
        <w:guid w:val="{0C5680D1-C8CB-4009-9DD2-5888A024411E}"/>
      </w:docPartPr>
      <w:docPartBody>
        <w:p w:rsidR="00EE0B07" w:rsidRDefault="00F5790B" w:rsidP="00F5790B">
          <w:pPr>
            <w:pStyle w:val="25716F4BF0934E32A3D3F7F57AC3B702"/>
          </w:pPr>
          <w:r w:rsidRPr="00D070C9">
            <w:rPr>
              <w:rStyle w:val="NabdkadatumChar"/>
              <w:rFonts w:eastAsiaTheme="minorEastAsia"/>
            </w:rPr>
            <w:t>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utch TL">
    <w:altName w:val="Times New Roman"/>
    <w:charset w:val="BA"/>
    <w:family w:val="roman"/>
    <w:pitch w:val="variable"/>
    <w:sig w:usb0="00000001" w:usb1="5000204A" w:usb2="00000000" w:usb3="00000000" w:csb0="0000009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0B"/>
    <w:rsid w:val="00D37430"/>
    <w:rsid w:val="00EE0B07"/>
    <w:rsid w:val="00F579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dkadatum">
    <w:name w:val="Nabídka_datum"/>
    <w:basedOn w:val="Normal"/>
    <w:link w:val="NabdkadatumChar"/>
    <w:qFormat/>
    <w:rsid w:val="00F5790B"/>
    <w:pPr>
      <w:spacing w:after="0" w:line="240" w:lineRule="auto"/>
    </w:pPr>
    <w:rPr>
      <w:rFonts w:ascii="Georgia" w:eastAsia="Times New Roman" w:hAnsi="Georgia" w:cs="Times New Roman"/>
      <w:b/>
      <w:color w:val="000000" w:themeColor="text1"/>
      <w:sz w:val="32"/>
      <w:szCs w:val="24"/>
      <w:shd w:val="clear" w:color="auto" w:fill="FFFFFF"/>
      <w:lang w:val="cs-CZ" w:eastAsia="cs-CZ"/>
    </w:rPr>
  </w:style>
  <w:style w:type="character" w:customStyle="1" w:styleId="NabdkadatumChar">
    <w:name w:val="Nabídka_datum Char"/>
    <w:basedOn w:val="DefaultParagraphFont"/>
    <w:link w:val="Nabdkadatum"/>
    <w:rsid w:val="00F5790B"/>
    <w:rPr>
      <w:rFonts w:ascii="Georgia" w:eastAsia="Times New Roman" w:hAnsi="Georgia" w:cs="Times New Roman"/>
      <w:b/>
      <w:color w:val="000000" w:themeColor="text1"/>
      <w:sz w:val="32"/>
      <w:szCs w:val="24"/>
      <w:lang w:val="cs-CZ" w:eastAsia="cs-CZ"/>
    </w:rPr>
  </w:style>
  <w:style w:type="paragraph" w:customStyle="1" w:styleId="D6F420704B9548B2B6E25ACA3B04C3C3">
    <w:name w:val="D6F420704B9548B2B6E25ACA3B04C3C3"/>
    <w:rsid w:val="00F5790B"/>
  </w:style>
  <w:style w:type="paragraph" w:customStyle="1" w:styleId="25716F4BF0934E32A3D3F7F57AC3B702">
    <w:name w:val="25716F4BF0934E32A3D3F7F57AC3B702"/>
    <w:rsid w:val="00F57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2795</Words>
  <Characters>1594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AS Latvenergo</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Graudiņš</dc:creator>
  <cp:keywords/>
  <dc:description/>
  <cp:lastModifiedBy>Ieva Arāja</cp:lastModifiedBy>
  <cp:revision>2</cp:revision>
  <dcterms:created xsi:type="dcterms:W3CDTF">2023-09-21T06:03:00Z</dcterms:created>
  <dcterms:modified xsi:type="dcterms:W3CDTF">2023-09-21T06:03:00Z</dcterms:modified>
</cp:coreProperties>
</file>