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CB248" w14:textId="05F9AEE8" w:rsidR="00217E00" w:rsidRDefault="00217E00" w:rsidP="00217E00">
      <w:pPr>
        <w:pStyle w:val="Default"/>
        <w:jc w:val="center"/>
        <w:rPr>
          <w:b/>
          <w:bCs/>
          <w:sz w:val="23"/>
          <w:szCs w:val="23"/>
        </w:rPr>
      </w:pPr>
      <w:r>
        <w:rPr>
          <w:b/>
          <w:bCs/>
          <w:sz w:val="23"/>
          <w:szCs w:val="23"/>
        </w:rPr>
        <w:t>Darba uzdevums</w:t>
      </w:r>
    </w:p>
    <w:p w14:paraId="56B7AD88" w14:textId="77777777" w:rsidR="00217E00" w:rsidRDefault="00217E00" w:rsidP="00217E00">
      <w:pPr>
        <w:pStyle w:val="Default"/>
        <w:jc w:val="center"/>
        <w:rPr>
          <w:sz w:val="23"/>
          <w:szCs w:val="23"/>
        </w:rPr>
      </w:pPr>
    </w:p>
    <w:p w14:paraId="4C843FC8" w14:textId="04D6BFAE" w:rsidR="00217E00" w:rsidRDefault="00217E00" w:rsidP="00217E00">
      <w:pPr>
        <w:pStyle w:val="Default"/>
        <w:rPr>
          <w:b/>
          <w:bCs/>
          <w:sz w:val="22"/>
          <w:szCs w:val="22"/>
        </w:rPr>
      </w:pPr>
      <w:r>
        <w:rPr>
          <w:b/>
          <w:bCs/>
          <w:sz w:val="22"/>
          <w:szCs w:val="22"/>
        </w:rPr>
        <w:t>1. Pamatnostādnes</w:t>
      </w:r>
    </w:p>
    <w:p w14:paraId="01BDBD8F" w14:textId="77777777" w:rsidR="004E7E37" w:rsidRDefault="00217E00" w:rsidP="004E7E37">
      <w:pPr>
        <w:pStyle w:val="Default"/>
        <w:rPr>
          <w:sz w:val="22"/>
          <w:szCs w:val="22"/>
        </w:rPr>
      </w:pPr>
      <w:r>
        <w:rPr>
          <w:b/>
          <w:bCs/>
          <w:sz w:val="22"/>
          <w:szCs w:val="22"/>
        </w:rPr>
        <w:t xml:space="preserve"> </w:t>
      </w:r>
      <w:r>
        <w:rPr>
          <w:sz w:val="22"/>
          <w:szCs w:val="22"/>
        </w:rPr>
        <w:t>D</w:t>
      </w:r>
      <w:r w:rsidRPr="00217E00">
        <w:rPr>
          <w:sz w:val="22"/>
          <w:szCs w:val="22"/>
        </w:rPr>
        <w:t>arba uzdevums paredz AS „Latvenergo” korporatīvās vadības ēkā Pulkveža Brieža ielā 12, Rīg</w:t>
      </w:r>
      <w:r>
        <w:rPr>
          <w:sz w:val="22"/>
          <w:szCs w:val="22"/>
        </w:rPr>
        <w:t>ā</w:t>
      </w:r>
      <w:r w:rsidRPr="00217E00">
        <w:rPr>
          <w:sz w:val="22"/>
          <w:szCs w:val="22"/>
        </w:rPr>
        <w:t xml:space="preserve"> veikt apgaismojuma sistēmas nomaiņu</w:t>
      </w:r>
      <w:r>
        <w:rPr>
          <w:sz w:val="22"/>
          <w:szCs w:val="22"/>
        </w:rPr>
        <w:t xml:space="preserve"> </w:t>
      </w:r>
      <w:r w:rsidR="002C510A">
        <w:rPr>
          <w:sz w:val="22"/>
          <w:szCs w:val="22"/>
        </w:rPr>
        <w:t>tehniskajā projektā norādītajās telpās.</w:t>
      </w:r>
      <w:r w:rsidRPr="00217E00">
        <w:rPr>
          <w:sz w:val="22"/>
          <w:szCs w:val="22"/>
        </w:rPr>
        <w:t xml:space="preserve"> </w:t>
      </w:r>
    </w:p>
    <w:p w14:paraId="7C2DD1CE" w14:textId="77777777" w:rsidR="004E7E37" w:rsidRDefault="004E7E37" w:rsidP="004E7E37">
      <w:pPr>
        <w:pStyle w:val="Default"/>
        <w:rPr>
          <w:sz w:val="22"/>
          <w:szCs w:val="22"/>
        </w:rPr>
      </w:pPr>
    </w:p>
    <w:p w14:paraId="36C5500D" w14:textId="671DC57A" w:rsidR="00217E00" w:rsidRPr="00217E00" w:rsidRDefault="00217E00" w:rsidP="004E7E37">
      <w:pPr>
        <w:pStyle w:val="Default"/>
        <w:rPr>
          <w:sz w:val="22"/>
          <w:szCs w:val="22"/>
        </w:rPr>
      </w:pPr>
      <w:r w:rsidRPr="00217E00">
        <w:rPr>
          <w:sz w:val="22"/>
          <w:szCs w:val="22"/>
        </w:rPr>
        <w:t xml:space="preserve">Darbu gaitā paredzēts: </w:t>
      </w:r>
    </w:p>
    <w:p w14:paraId="4A9CE58E" w14:textId="24B9895B" w:rsidR="00217E00" w:rsidRPr="00217E00" w:rsidRDefault="00217E00" w:rsidP="00564425">
      <w:pPr>
        <w:pStyle w:val="Default"/>
        <w:numPr>
          <w:ilvl w:val="0"/>
          <w:numId w:val="2"/>
        </w:numPr>
        <w:spacing w:after="148" w:line="360" w:lineRule="auto"/>
        <w:jc w:val="both"/>
        <w:rPr>
          <w:sz w:val="22"/>
          <w:szCs w:val="22"/>
        </w:rPr>
      </w:pPr>
      <w:r w:rsidRPr="00217E00">
        <w:rPr>
          <w:sz w:val="22"/>
          <w:szCs w:val="22"/>
        </w:rPr>
        <w:t xml:space="preserve">Demontēt esošos gaismekļus; </w:t>
      </w:r>
    </w:p>
    <w:p w14:paraId="51ACD2CF" w14:textId="1C98C6B4" w:rsidR="00564425" w:rsidRDefault="00217E00" w:rsidP="00564425">
      <w:pPr>
        <w:pStyle w:val="Default"/>
        <w:numPr>
          <w:ilvl w:val="0"/>
          <w:numId w:val="2"/>
        </w:numPr>
        <w:spacing w:after="148" w:line="360" w:lineRule="auto"/>
        <w:jc w:val="both"/>
        <w:rPr>
          <w:sz w:val="22"/>
          <w:szCs w:val="22"/>
        </w:rPr>
      </w:pPr>
      <w:r w:rsidRPr="00217E00">
        <w:rPr>
          <w:sz w:val="22"/>
          <w:szCs w:val="22"/>
        </w:rPr>
        <w:t>Demontēt esošos gaismas slēdžus;</w:t>
      </w:r>
    </w:p>
    <w:p w14:paraId="5F0E22AA" w14:textId="3A9A690B" w:rsidR="0048646C" w:rsidRDefault="00217E00" w:rsidP="00564425">
      <w:pPr>
        <w:pStyle w:val="Default"/>
        <w:numPr>
          <w:ilvl w:val="0"/>
          <w:numId w:val="2"/>
        </w:numPr>
        <w:spacing w:after="148" w:line="360" w:lineRule="auto"/>
        <w:jc w:val="both"/>
        <w:rPr>
          <w:sz w:val="22"/>
          <w:szCs w:val="22"/>
        </w:rPr>
      </w:pPr>
      <w:r w:rsidRPr="00217E00">
        <w:rPr>
          <w:sz w:val="22"/>
          <w:szCs w:val="22"/>
        </w:rPr>
        <w:t>Pēc nepieciešamības demontēt apgaismojuma instalāciju</w:t>
      </w:r>
      <w:r w:rsidR="0048646C">
        <w:rPr>
          <w:sz w:val="22"/>
          <w:szCs w:val="22"/>
        </w:rPr>
        <w:t>;</w:t>
      </w:r>
    </w:p>
    <w:p w14:paraId="6E03A2BE" w14:textId="64AAA118" w:rsidR="00217E00" w:rsidRPr="00217E00" w:rsidRDefault="00217E00" w:rsidP="00564425">
      <w:pPr>
        <w:pStyle w:val="Default"/>
        <w:numPr>
          <w:ilvl w:val="0"/>
          <w:numId w:val="2"/>
        </w:numPr>
        <w:spacing w:after="148" w:line="360" w:lineRule="auto"/>
        <w:jc w:val="both"/>
        <w:rPr>
          <w:sz w:val="22"/>
          <w:szCs w:val="22"/>
        </w:rPr>
      </w:pPr>
      <w:r w:rsidRPr="00217E00">
        <w:rPr>
          <w:sz w:val="22"/>
          <w:szCs w:val="22"/>
        </w:rPr>
        <w:t xml:space="preserve">Uzstādīt LED tipa gaismekļus; </w:t>
      </w:r>
    </w:p>
    <w:p w14:paraId="1C8752EE" w14:textId="0504F9CB" w:rsidR="00217E00" w:rsidRPr="00217E00" w:rsidRDefault="00217E00" w:rsidP="00564425">
      <w:pPr>
        <w:pStyle w:val="Default"/>
        <w:numPr>
          <w:ilvl w:val="0"/>
          <w:numId w:val="2"/>
        </w:numPr>
        <w:spacing w:after="148" w:line="360" w:lineRule="auto"/>
        <w:jc w:val="both"/>
        <w:rPr>
          <w:sz w:val="22"/>
          <w:szCs w:val="22"/>
        </w:rPr>
      </w:pPr>
      <w:r w:rsidRPr="00217E00">
        <w:rPr>
          <w:sz w:val="22"/>
          <w:szCs w:val="22"/>
        </w:rPr>
        <w:t>Uzstādītajiem gaismekļiem paredzēt gan automātisku vadību, izmantojot klātbūtnes un dienasgaismas sensorus, gan manuālu</w:t>
      </w:r>
      <w:r w:rsidR="002C510A">
        <w:rPr>
          <w:sz w:val="22"/>
          <w:szCs w:val="22"/>
        </w:rPr>
        <w:t>, kur tas ir nepieciešams saskaņā ar norādīto tehniskajā projektā</w:t>
      </w:r>
      <w:r w:rsidRPr="00217E00">
        <w:rPr>
          <w:sz w:val="22"/>
          <w:szCs w:val="22"/>
        </w:rPr>
        <w:t xml:space="preserve">, izmantojot spiedpogas; </w:t>
      </w:r>
    </w:p>
    <w:p w14:paraId="0E852A56" w14:textId="462CD3D2" w:rsidR="00217E00" w:rsidRPr="00217E00" w:rsidRDefault="00217E00" w:rsidP="00564425">
      <w:pPr>
        <w:pStyle w:val="Default"/>
        <w:numPr>
          <w:ilvl w:val="0"/>
          <w:numId w:val="2"/>
        </w:numPr>
        <w:spacing w:after="148" w:line="360" w:lineRule="auto"/>
        <w:jc w:val="both"/>
        <w:rPr>
          <w:sz w:val="22"/>
          <w:szCs w:val="22"/>
        </w:rPr>
      </w:pPr>
      <w:r w:rsidRPr="00217E00">
        <w:rPr>
          <w:sz w:val="22"/>
          <w:szCs w:val="22"/>
        </w:rPr>
        <w:t xml:space="preserve">Uzstādītajām spiedpogām jābūt </w:t>
      </w:r>
      <w:proofErr w:type="spellStart"/>
      <w:r w:rsidRPr="00217E00">
        <w:rPr>
          <w:sz w:val="22"/>
          <w:szCs w:val="22"/>
        </w:rPr>
        <w:t>dizainiski</w:t>
      </w:r>
      <w:proofErr w:type="spellEnd"/>
      <w:r w:rsidRPr="00217E00">
        <w:rPr>
          <w:sz w:val="22"/>
          <w:szCs w:val="22"/>
        </w:rPr>
        <w:t xml:space="preserve"> iederīgām; </w:t>
      </w:r>
    </w:p>
    <w:p w14:paraId="686B7CFB" w14:textId="77777777" w:rsidR="00564425" w:rsidRDefault="00217E00" w:rsidP="00564425">
      <w:pPr>
        <w:pStyle w:val="Default"/>
        <w:numPr>
          <w:ilvl w:val="0"/>
          <w:numId w:val="2"/>
        </w:numPr>
        <w:spacing w:after="148" w:line="360" w:lineRule="auto"/>
        <w:jc w:val="both"/>
        <w:rPr>
          <w:sz w:val="22"/>
          <w:szCs w:val="22"/>
        </w:rPr>
      </w:pPr>
      <w:r w:rsidRPr="00217E00">
        <w:rPr>
          <w:sz w:val="22"/>
          <w:szCs w:val="22"/>
        </w:rPr>
        <w:t xml:space="preserve">Vadībai izmantot DALI un KNX tehnoloģijas; </w:t>
      </w:r>
    </w:p>
    <w:p w14:paraId="4FBA54D0" w14:textId="4035BB9E" w:rsidR="00217E00" w:rsidRPr="00217E00" w:rsidRDefault="00217E00" w:rsidP="00564425">
      <w:pPr>
        <w:pStyle w:val="Default"/>
        <w:numPr>
          <w:ilvl w:val="0"/>
          <w:numId w:val="2"/>
        </w:numPr>
        <w:spacing w:after="148" w:line="360" w:lineRule="auto"/>
        <w:jc w:val="both"/>
        <w:rPr>
          <w:sz w:val="22"/>
          <w:szCs w:val="22"/>
        </w:rPr>
      </w:pPr>
      <w:r w:rsidRPr="00217E00">
        <w:rPr>
          <w:sz w:val="22"/>
          <w:szCs w:val="22"/>
        </w:rPr>
        <w:t>Vadības algoritmus Pasūtītājs iesniegs darbu veikšanas laikā</w:t>
      </w:r>
      <w:r w:rsidR="004E7E37">
        <w:rPr>
          <w:sz w:val="22"/>
          <w:szCs w:val="22"/>
        </w:rPr>
        <w:t>, pārējie principi aprakstīti “Apgaismojuma vadības sistēmas apraksts” failā</w:t>
      </w:r>
      <w:r w:rsidRPr="00217E00">
        <w:rPr>
          <w:sz w:val="22"/>
          <w:szCs w:val="22"/>
        </w:rPr>
        <w:t xml:space="preserve">; </w:t>
      </w:r>
    </w:p>
    <w:p w14:paraId="0D59891C" w14:textId="77777777" w:rsidR="0048646C" w:rsidRDefault="00217E00" w:rsidP="00564425">
      <w:pPr>
        <w:pStyle w:val="Default"/>
        <w:numPr>
          <w:ilvl w:val="0"/>
          <w:numId w:val="2"/>
        </w:numPr>
        <w:spacing w:after="148" w:line="360" w:lineRule="auto"/>
        <w:jc w:val="both"/>
        <w:rPr>
          <w:sz w:val="22"/>
          <w:szCs w:val="22"/>
        </w:rPr>
      </w:pPr>
      <w:r w:rsidRPr="00217E00">
        <w:rPr>
          <w:sz w:val="22"/>
          <w:szCs w:val="22"/>
        </w:rPr>
        <w:t xml:space="preserve">Uzstādīt apgaismojuma sistēmas </w:t>
      </w:r>
      <w:proofErr w:type="spellStart"/>
      <w:r w:rsidRPr="00217E00">
        <w:rPr>
          <w:sz w:val="22"/>
          <w:szCs w:val="22"/>
        </w:rPr>
        <w:t>vizu</w:t>
      </w:r>
      <w:r w:rsidR="004E7E37">
        <w:rPr>
          <w:sz w:val="22"/>
          <w:szCs w:val="22"/>
        </w:rPr>
        <w:t>a</w:t>
      </w:r>
      <w:r w:rsidRPr="00217E00">
        <w:rPr>
          <w:sz w:val="22"/>
          <w:szCs w:val="22"/>
        </w:rPr>
        <w:t>lizāciju</w:t>
      </w:r>
      <w:proofErr w:type="spellEnd"/>
      <w:r w:rsidRPr="00217E00">
        <w:rPr>
          <w:sz w:val="22"/>
          <w:szCs w:val="22"/>
        </w:rPr>
        <w:t xml:space="preserve"> ar iespēju paplašināt sistēmu;</w:t>
      </w:r>
    </w:p>
    <w:p w14:paraId="3A5489C7" w14:textId="6F9A91D6" w:rsidR="00217E00" w:rsidRPr="0048646C" w:rsidRDefault="0048646C" w:rsidP="0048646C">
      <w:pPr>
        <w:pStyle w:val="Default"/>
        <w:numPr>
          <w:ilvl w:val="0"/>
          <w:numId w:val="2"/>
        </w:numPr>
        <w:spacing w:after="148" w:line="360" w:lineRule="auto"/>
        <w:jc w:val="both"/>
        <w:rPr>
          <w:sz w:val="22"/>
          <w:szCs w:val="22"/>
        </w:rPr>
      </w:pPr>
      <w:r>
        <w:rPr>
          <w:sz w:val="22"/>
          <w:szCs w:val="22"/>
        </w:rPr>
        <w:t>Brīdī, kad KNX un DALI sistēma ir palaista un pārbaudīta, atslēgt apgaismojumu no BMS</w:t>
      </w:r>
      <w:r w:rsidRPr="00217E00">
        <w:rPr>
          <w:sz w:val="22"/>
          <w:szCs w:val="22"/>
        </w:rPr>
        <w:t xml:space="preserve">; </w:t>
      </w:r>
      <w:r w:rsidR="00217E00" w:rsidRPr="0048646C">
        <w:rPr>
          <w:sz w:val="22"/>
          <w:szCs w:val="22"/>
        </w:rPr>
        <w:t xml:space="preserve"> </w:t>
      </w:r>
    </w:p>
    <w:p w14:paraId="7E961439" w14:textId="77777777" w:rsidR="006D718F" w:rsidRDefault="00217E00" w:rsidP="00564425">
      <w:pPr>
        <w:pStyle w:val="Default"/>
        <w:numPr>
          <w:ilvl w:val="0"/>
          <w:numId w:val="2"/>
        </w:numPr>
        <w:spacing w:line="360" w:lineRule="auto"/>
        <w:jc w:val="both"/>
        <w:rPr>
          <w:sz w:val="22"/>
          <w:szCs w:val="22"/>
        </w:rPr>
      </w:pPr>
      <w:r w:rsidRPr="00217E00">
        <w:rPr>
          <w:sz w:val="22"/>
          <w:szCs w:val="22"/>
        </w:rPr>
        <w:t>Veikt telpu griestu/sienu atjaunošanu un krāsošanu, ja darbu izpildes laikā ir bojāti griesti/sienas</w:t>
      </w:r>
      <w:r w:rsidR="006D718F">
        <w:rPr>
          <w:sz w:val="22"/>
          <w:szCs w:val="22"/>
        </w:rPr>
        <w:t>;</w:t>
      </w:r>
    </w:p>
    <w:p w14:paraId="085E87C7" w14:textId="77777777" w:rsidR="006D718F" w:rsidRDefault="006D718F" w:rsidP="00564425">
      <w:pPr>
        <w:pStyle w:val="Default"/>
        <w:numPr>
          <w:ilvl w:val="0"/>
          <w:numId w:val="2"/>
        </w:numPr>
        <w:spacing w:line="360" w:lineRule="auto"/>
        <w:jc w:val="both"/>
        <w:rPr>
          <w:sz w:val="22"/>
          <w:szCs w:val="22"/>
        </w:rPr>
      </w:pPr>
      <w:r>
        <w:rPr>
          <w:sz w:val="22"/>
          <w:szCs w:val="22"/>
        </w:rPr>
        <w:t>Projekta apjomos paredzēta KNX sensoru rezerve 10%, neparedzētiem gadījumiem;</w:t>
      </w:r>
    </w:p>
    <w:p w14:paraId="58366571" w14:textId="21DF6C4E" w:rsidR="00217E00" w:rsidRPr="00217E00" w:rsidRDefault="006D718F" w:rsidP="00564425">
      <w:pPr>
        <w:pStyle w:val="Default"/>
        <w:numPr>
          <w:ilvl w:val="0"/>
          <w:numId w:val="2"/>
        </w:numPr>
        <w:spacing w:line="360" w:lineRule="auto"/>
        <w:jc w:val="both"/>
        <w:rPr>
          <w:sz w:val="22"/>
          <w:szCs w:val="22"/>
        </w:rPr>
      </w:pPr>
      <w:r>
        <w:rPr>
          <w:sz w:val="22"/>
          <w:szCs w:val="22"/>
        </w:rPr>
        <w:t>Projekta apjomos paredzēta G2 tipa gaismekļu rezerve 1</w:t>
      </w:r>
      <w:r w:rsidR="00460167">
        <w:rPr>
          <w:sz w:val="22"/>
          <w:szCs w:val="22"/>
        </w:rPr>
        <w:t>0</w:t>
      </w:r>
      <w:r>
        <w:rPr>
          <w:sz w:val="22"/>
          <w:szCs w:val="22"/>
        </w:rPr>
        <w:t xml:space="preserve"> gab.</w:t>
      </w:r>
      <w:r w:rsidR="00217E00" w:rsidRPr="00217E00">
        <w:rPr>
          <w:sz w:val="22"/>
          <w:szCs w:val="22"/>
        </w:rPr>
        <w:t xml:space="preserve"> </w:t>
      </w:r>
    </w:p>
    <w:p w14:paraId="39DE8B33" w14:textId="77777777" w:rsidR="00217E00" w:rsidRPr="00217E00" w:rsidRDefault="00217E00" w:rsidP="00217E00">
      <w:pPr>
        <w:pStyle w:val="Default"/>
        <w:spacing w:line="360" w:lineRule="auto"/>
        <w:jc w:val="both"/>
        <w:rPr>
          <w:sz w:val="22"/>
          <w:szCs w:val="22"/>
        </w:rPr>
      </w:pPr>
    </w:p>
    <w:p w14:paraId="4D7C5FBA" w14:textId="3D8422CB" w:rsidR="00217E00" w:rsidRPr="00217E00" w:rsidRDefault="00217E00" w:rsidP="00217E00">
      <w:pPr>
        <w:pStyle w:val="Default"/>
        <w:spacing w:line="360" w:lineRule="auto"/>
        <w:jc w:val="both"/>
        <w:rPr>
          <w:b/>
          <w:bCs/>
          <w:sz w:val="22"/>
          <w:szCs w:val="22"/>
        </w:rPr>
      </w:pPr>
      <w:r w:rsidRPr="00217E00">
        <w:rPr>
          <w:b/>
          <w:bCs/>
          <w:sz w:val="22"/>
          <w:szCs w:val="22"/>
        </w:rPr>
        <w:t>2. Kopējās prasības darbu veikšanai</w:t>
      </w:r>
    </w:p>
    <w:p w14:paraId="6C2521A1" w14:textId="578582AF" w:rsidR="00217E00" w:rsidRPr="00217E00" w:rsidRDefault="00217E00" w:rsidP="00564425">
      <w:pPr>
        <w:pStyle w:val="Default"/>
        <w:numPr>
          <w:ilvl w:val="0"/>
          <w:numId w:val="1"/>
        </w:numPr>
        <w:spacing w:line="360" w:lineRule="auto"/>
        <w:jc w:val="both"/>
        <w:rPr>
          <w:sz w:val="22"/>
          <w:szCs w:val="22"/>
        </w:rPr>
      </w:pPr>
      <w:r w:rsidRPr="00217E00">
        <w:rPr>
          <w:sz w:val="22"/>
          <w:szCs w:val="22"/>
        </w:rPr>
        <w:t>Montāžas darbi un testēšana veicami ārpus noteiktā darba laika</w:t>
      </w:r>
      <w:r w:rsidR="00564425">
        <w:rPr>
          <w:sz w:val="22"/>
          <w:szCs w:val="22"/>
        </w:rPr>
        <w:t>.</w:t>
      </w:r>
      <w:r w:rsidRPr="00217E00">
        <w:rPr>
          <w:sz w:val="22"/>
          <w:szCs w:val="22"/>
        </w:rPr>
        <w:t xml:space="preserve"> </w:t>
      </w:r>
    </w:p>
    <w:p w14:paraId="67881BE4" w14:textId="101DDCF2" w:rsidR="00217E00" w:rsidRPr="00217E00" w:rsidRDefault="00217E00" w:rsidP="00564425">
      <w:pPr>
        <w:pStyle w:val="Default"/>
        <w:numPr>
          <w:ilvl w:val="0"/>
          <w:numId w:val="1"/>
        </w:numPr>
        <w:spacing w:line="360" w:lineRule="auto"/>
        <w:jc w:val="both"/>
        <w:rPr>
          <w:sz w:val="22"/>
          <w:szCs w:val="22"/>
        </w:rPr>
      </w:pPr>
      <w:r w:rsidRPr="00217E00">
        <w:rPr>
          <w:sz w:val="22"/>
          <w:szCs w:val="22"/>
        </w:rPr>
        <w:t>Ieregulēšanas darbus iespējams veikt darba laikā</w:t>
      </w:r>
      <w:r w:rsidR="00564425">
        <w:rPr>
          <w:sz w:val="22"/>
          <w:szCs w:val="22"/>
        </w:rPr>
        <w:t>.</w:t>
      </w:r>
      <w:r w:rsidRPr="00217E00">
        <w:rPr>
          <w:sz w:val="22"/>
          <w:szCs w:val="22"/>
        </w:rPr>
        <w:t xml:space="preserve"> </w:t>
      </w:r>
    </w:p>
    <w:p w14:paraId="6BA2E426" w14:textId="0FB6830B" w:rsidR="00217E00" w:rsidRPr="00217E00" w:rsidRDefault="00217E00" w:rsidP="00564425">
      <w:pPr>
        <w:pStyle w:val="Default"/>
        <w:numPr>
          <w:ilvl w:val="0"/>
          <w:numId w:val="1"/>
        </w:numPr>
        <w:spacing w:line="360" w:lineRule="auto"/>
        <w:jc w:val="both"/>
        <w:rPr>
          <w:sz w:val="22"/>
          <w:szCs w:val="22"/>
        </w:rPr>
      </w:pPr>
      <w:r w:rsidRPr="00217E00">
        <w:rPr>
          <w:sz w:val="22"/>
          <w:szCs w:val="22"/>
        </w:rPr>
        <w:t xml:space="preserve">Izpildot darbu apjomu, Uzņēmējam ir jāievēro LR spēkā esošie normatīvie akti, kas attiecas uz konkrētā projekta realizāciju, kā arī Pasūtītāja uzņēmumā spēkā esošie iekšējie normatīvie dokumenti. </w:t>
      </w:r>
    </w:p>
    <w:p w14:paraId="63177C57" w14:textId="62A98214" w:rsidR="00217E00" w:rsidRPr="00217E00" w:rsidRDefault="00217E00" w:rsidP="00564425">
      <w:pPr>
        <w:pStyle w:val="Default"/>
        <w:numPr>
          <w:ilvl w:val="0"/>
          <w:numId w:val="1"/>
        </w:numPr>
        <w:spacing w:line="360" w:lineRule="auto"/>
        <w:jc w:val="both"/>
        <w:rPr>
          <w:sz w:val="22"/>
          <w:szCs w:val="22"/>
        </w:rPr>
      </w:pPr>
      <w:r w:rsidRPr="00217E00">
        <w:rPr>
          <w:sz w:val="22"/>
          <w:szCs w:val="22"/>
        </w:rPr>
        <w:t xml:space="preserve">Pirms darbu uzsākšanas Uzņēmējs izstrādā un iesniedz Pasūtītājam saskaņošanai Darbu veikšanas projektu. </w:t>
      </w:r>
    </w:p>
    <w:p w14:paraId="0BF9B3E1" w14:textId="16F76A4E" w:rsidR="004E7E37" w:rsidRDefault="00217E00" w:rsidP="00564425">
      <w:pPr>
        <w:pStyle w:val="Default"/>
        <w:numPr>
          <w:ilvl w:val="0"/>
          <w:numId w:val="1"/>
        </w:numPr>
        <w:spacing w:line="360" w:lineRule="auto"/>
        <w:jc w:val="both"/>
        <w:rPr>
          <w:sz w:val="22"/>
          <w:szCs w:val="22"/>
        </w:rPr>
      </w:pPr>
      <w:r w:rsidRPr="00217E00">
        <w:rPr>
          <w:sz w:val="22"/>
          <w:szCs w:val="22"/>
        </w:rPr>
        <w:t>Darbi jāplāno tā, lai netraucētu Pasūtītāja darbu</w:t>
      </w:r>
      <w:r w:rsidR="00564425">
        <w:rPr>
          <w:sz w:val="22"/>
          <w:szCs w:val="22"/>
        </w:rPr>
        <w:t>.</w:t>
      </w:r>
      <w:r w:rsidRPr="00217E00">
        <w:rPr>
          <w:sz w:val="22"/>
          <w:szCs w:val="22"/>
        </w:rPr>
        <w:t xml:space="preserve"> </w:t>
      </w:r>
    </w:p>
    <w:p w14:paraId="7544A249" w14:textId="12A0316C" w:rsidR="00217E00" w:rsidRPr="004E7E37" w:rsidRDefault="00217E00" w:rsidP="00564425">
      <w:pPr>
        <w:pStyle w:val="Default"/>
        <w:numPr>
          <w:ilvl w:val="0"/>
          <w:numId w:val="1"/>
        </w:numPr>
        <w:spacing w:line="360" w:lineRule="auto"/>
        <w:jc w:val="both"/>
        <w:rPr>
          <w:sz w:val="22"/>
          <w:szCs w:val="22"/>
        </w:rPr>
      </w:pPr>
      <w:r w:rsidRPr="00217E00">
        <w:rPr>
          <w:sz w:val="22"/>
          <w:szCs w:val="22"/>
        </w:rPr>
        <w:lastRenderedPageBreak/>
        <w:t>Ja Uzņēmējs izmaksu tabulās nav norādījis atsevišķus darbus vai materiālus, bet tie ir nepārprotami nepieciešami darbu izpildei, tad tiek uzskatīts, ka šo darbu vai materiālu attiecīgās izmaksas ir iekļautas kopējā cen</w:t>
      </w:r>
      <w:r w:rsidR="00564425">
        <w:rPr>
          <w:sz w:val="22"/>
          <w:szCs w:val="22"/>
        </w:rPr>
        <w:t>ā.</w:t>
      </w:r>
      <w:r w:rsidRPr="00217E00">
        <w:rPr>
          <w:sz w:val="22"/>
          <w:szCs w:val="22"/>
        </w:rPr>
        <w:t xml:space="preserve"> </w:t>
      </w:r>
      <w:r w:rsidRPr="00217E00">
        <w:rPr>
          <w:sz w:val="23"/>
          <w:szCs w:val="23"/>
        </w:rPr>
        <w:t xml:space="preserve"> </w:t>
      </w:r>
    </w:p>
    <w:p w14:paraId="6512D343" w14:textId="77777777" w:rsidR="00217E00" w:rsidRPr="00217E00" w:rsidRDefault="00217E00" w:rsidP="00564425">
      <w:pPr>
        <w:pStyle w:val="Default"/>
        <w:spacing w:line="360" w:lineRule="auto"/>
        <w:jc w:val="both"/>
        <w:rPr>
          <w:color w:val="auto"/>
        </w:rPr>
      </w:pPr>
    </w:p>
    <w:p w14:paraId="1E3F9E37" w14:textId="43706A6E" w:rsidR="00217E00" w:rsidRPr="00217E00" w:rsidRDefault="00217E00" w:rsidP="00564425">
      <w:pPr>
        <w:pStyle w:val="Default"/>
        <w:pageBreakBefore/>
        <w:numPr>
          <w:ilvl w:val="0"/>
          <w:numId w:val="1"/>
        </w:numPr>
        <w:spacing w:line="360" w:lineRule="auto"/>
        <w:jc w:val="both"/>
        <w:rPr>
          <w:color w:val="auto"/>
          <w:sz w:val="22"/>
          <w:szCs w:val="22"/>
        </w:rPr>
      </w:pPr>
      <w:r w:rsidRPr="00217E00">
        <w:rPr>
          <w:color w:val="auto"/>
          <w:sz w:val="22"/>
          <w:szCs w:val="22"/>
        </w:rPr>
        <w:lastRenderedPageBreak/>
        <w:t xml:space="preserve">Pasūtītājam ir tiesības apturēt darbu izpildi, ja ir konstatēti rupji drošības vai iekšējās kārtības noteikumu pārkāpumi, kas apdraud strādājošo veselību vai var radīt materiālus zaudējumus. Atkārtotu pārkāpumu gadījumā Pasūtītājs patur sev tiesības vainīgās personas izraidīt no darba vietas bez tiesībām atgriezties tajā. </w:t>
      </w:r>
    </w:p>
    <w:p w14:paraId="09A5548A" w14:textId="65C3B682" w:rsidR="00217E00" w:rsidRPr="00217E00" w:rsidRDefault="00217E00" w:rsidP="00564425">
      <w:pPr>
        <w:pStyle w:val="Default"/>
        <w:numPr>
          <w:ilvl w:val="0"/>
          <w:numId w:val="1"/>
        </w:numPr>
        <w:spacing w:line="360" w:lineRule="auto"/>
        <w:jc w:val="both"/>
        <w:rPr>
          <w:color w:val="auto"/>
          <w:sz w:val="22"/>
          <w:szCs w:val="22"/>
        </w:rPr>
      </w:pPr>
      <w:r w:rsidRPr="00217E00">
        <w:rPr>
          <w:color w:val="auto"/>
          <w:sz w:val="22"/>
          <w:szCs w:val="22"/>
        </w:rPr>
        <w:t xml:space="preserve">Uzņēmējs nozīmē projekta vadītāju un darbu vadītājus nepieciešamajā skaitā. </w:t>
      </w:r>
    </w:p>
    <w:p w14:paraId="26A8DA39" w14:textId="091E2CF9" w:rsidR="00217E00" w:rsidRPr="00217E00" w:rsidRDefault="00217E00" w:rsidP="00564425">
      <w:pPr>
        <w:pStyle w:val="Default"/>
        <w:numPr>
          <w:ilvl w:val="0"/>
          <w:numId w:val="1"/>
        </w:numPr>
        <w:spacing w:line="360" w:lineRule="auto"/>
        <w:jc w:val="both"/>
        <w:rPr>
          <w:color w:val="auto"/>
          <w:sz w:val="22"/>
          <w:szCs w:val="22"/>
        </w:rPr>
      </w:pPr>
      <w:r w:rsidRPr="00217E00">
        <w:rPr>
          <w:color w:val="auto"/>
          <w:sz w:val="22"/>
          <w:szCs w:val="22"/>
        </w:rPr>
        <w:t xml:space="preserve">Pasūtītājs nozīmē savu kontaktpersonu un būvuzraugu. </w:t>
      </w:r>
    </w:p>
    <w:p w14:paraId="0FE583ED" w14:textId="3230FEC3" w:rsidR="004E7E37" w:rsidRDefault="00217E00" w:rsidP="00564425">
      <w:pPr>
        <w:pStyle w:val="Default"/>
        <w:numPr>
          <w:ilvl w:val="0"/>
          <w:numId w:val="1"/>
        </w:numPr>
        <w:spacing w:line="360" w:lineRule="auto"/>
        <w:jc w:val="both"/>
        <w:rPr>
          <w:color w:val="auto"/>
          <w:sz w:val="22"/>
          <w:szCs w:val="22"/>
        </w:rPr>
      </w:pPr>
      <w:r w:rsidRPr="00217E00">
        <w:rPr>
          <w:color w:val="auto"/>
          <w:sz w:val="22"/>
          <w:szCs w:val="22"/>
        </w:rPr>
        <w:t>Uzņēmējam ir jānodrošina būvuzraugam drošu un brīvu pieeju darbu vietai, to apskatei un kvalitātes kontrolei. Šīs darbības nedrīkst kavēt normālu darba izpildi</w:t>
      </w:r>
      <w:r w:rsidR="00564425">
        <w:rPr>
          <w:color w:val="auto"/>
          <w:sz w:val="22"/>
          <w:szCs w:val="22"/>
        </w:rPr>
        <w:t>.</w:t>
      </w:r>
      <w:r w:rsidRPr="00217E00">
        <w:rPr>
          <w:color w:val="auto"/>
          <w:sz w:val="22"/>
          <w:szCs w:val="22"/>
        </w:rPr>
        <w:t xml:space="preserve"> </w:t>
      </w:r>
    </w:p>
    <w:p w14:paraId="50EF99D9" w14:textId="60A804DE" w:rsidR="00F97C5D" w:rsidRPr="004E7E37" w:rsidRDefault="00217E00" w:rsidP="00564425">
      <w:pPr>
        <w:pStyle w:val="Default"/>
        <w:numPr>
          <w:ilvl w:val="0"/>
          <w:numId w:val="1"/>
        </w:numPr>
        <w:spacing w:line="360" w:lineRule="auto"/>
        <w:jc w:val="both"/>
        <w:rPr>
          <w:color w:val="auto"/>
          <w:sz w:val="22"/>
          <w:szCs w:val="22"/>
        </w:rPr>
      </w:pPr>
      <w:r w:rsidRPr="00217E00">
        <w:rPr>
          <w:color w:val="auto"/>
          <w:sz w:val="22"/>
          <w:szCs w:val="22"/>
        </w:rPr>
        <w:t xml:space="preserve">Pabeidzot darbus Uzņēmējam jāsagatavo </w:t>
      </w:r>
      <w:r w:rsidR="00564425">
        <w:rPr>
          <w:color w:val="auto"/>
          <w:sz w:val="22"/>
          <w:szCs w:val="22"/>
        </w:rPr>
        <w:t xml:space="preserve">darbu izpildes </w:t>
      </w:r>
      <w:r w:rsidRPr="00217E00">
        <w:rPr>
          <w:color w:val="auto"/>
          <w:sz w:val="22"/>
          <w:szCs w:val="22"/>
        </w:rPr>
        <w:t>dokumentācija, saskaņā ar Pasūtītāja</w:t>
      </w:r>
      <w:r w:rsidR="00564425">
        <w:rPr>
          <w:color w:val="auto"/>
          <w:sz w:val="22"/>
          <w:szCs w:val="22"/>
        </w:rPr>
        <w:t xml:space="preserve"> un</w:t>
      </w:r>
      <w:r w:rsidRPr="00217E00">
        <w:rPr>
          <w:color w:val="auto"/>
          <w:sz w:val="22"/>
          <w:szCs w:val="22"/>
        </w:rPr>
        <w:t xml:space="preserve"> regulējošo likumu prasībām.</w:t>
      </w:r>
    </w:p>
    <w:sectPr w:rsidR="00F97C5D" w:rsidRPr="004E7E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6364E9"/>
    <w:multiLevelType w:val="hybridMultilevel"/>
    <w:tmpl w:val="0958D4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76D92885"/>
    <w:multiLevelType w:val="hybridMultilevel"/>
    <w:tmpl w:val="73D672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cs="Wingdings" w:hint="default"/>
      </w:rPr>
    </w:lvl>
    <w:lvl w:ilvl="3" w:tplc="04260001" w:tentative="1">
      <w:start w:val="1"/>
      <w:numFmt w:val="bullet"/>
      <w:lvlText w:val=""/>
      <w:lvlJc w:val="left"/>
      <w:pPr>
        <w:ind w:left="2880" w:hanging="360"/>
      </w:pPr>
      <w:rPr>
        <w:rFonts w:ascii="Symbol" w:hAnsi="Symbol" w:cs="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cs="Wingdings" w:hint="default"/>
      </w:rPr>
    </w:lvl>
    <w:lvl w:ilvl="6" w:tplc="04260001" w:tentative="1">
      <w:start w:val="1"/>
      <w:numFmt w:val="bullet"/>
      <w:lvlText w:val=""/>
      <w:lvlJc w:val="left"/>
      <w:pPr>
        <w:ind w:left="5040" w:hanging="360"/>
      </w:pPr>
      <w:rPr>
        <w:rFonts w:ascii="Symbol" w:hAnsi="Symbol" w:cs="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00"/>
    <w:rsid w:val="00217E00"/>
    <w:rsid w:val="002C510A"/>
    <w:rsid w:val="00460167"/>
    <w:rsid w:val="0048646C"/>
    <w:rsid w:val="004E7E37"/>
    <w:rsid w:val="00564425"/>
    <w:rsid w:val="006D718F"/>
    <w:rsid w:val="00905223"/>
    <w:rsid w:val="00F97C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E08A7"/>
  <w15:chartTrackingRefBased/>
  <w15:docId w15:val="{500F0D16-17E2-4E8E-9B9D-7B6A0DF66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17E0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1720</Words>
  <Characters>981</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KNX</dc:creator>
  <cp:keywords/>
  <dc:description/>
  <cp:revision>7</cp:revision>
  <dcterms:created xsi:type="dcterms:W3CDTF">2020-05-02T12:37:00Z</dcterms:created>
  <dcterms:modified xsi:type="dcterms:W3CDTF">2021-03-29T10:05:00Z</dcterms:modified>
</cp:coreProperties>
</file>