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397CA" w14:textId="77777777" w:rsidR="009E1450" w:rsidRDefault="009E1450" w:rsidP="009E1450">
      <w:r>
        <w:rPr>
          <w:lang w:bidi="en-GB"/>
        </w:rPr>
        <w:t>Table of contents:</w:t>
      </w:r>
    </w:p>
    <w:p w14:paraId="57532408" w14:textId="77777777" w:rsidR="009E1450" w:rsidRDefault="009E1450" w:rsidP="009E1450">
      <w:r>
        <w:rPr>
          <w:lang w:bidi="en-GB"/>
        </w:rPr>
        <w:t>1.</w:t>
      </w:r>
      <w:r>
        <w:rPr>
          <w:lang w:bidi="en-GB"/>
        </w:rPr>
        <w:tab/>
        <w:t>General Provisions</w:t>
      </w:r>
    </w:p>
    <w:p w14:paraId="2B9A264B" w14:textId="77777777" w:rsidR="009E1450" w:rsidRDefault="009E1450" w:rsidP="009E1450">
      <w:r>
        <w:rPr>
          <w:lang w:bidi="en-GB"/>
        </w:rPr>
        <w:t>2.</w:t>
      </w:r>
      <w:r>
        <w:rPr>
          <w:lang w:bidi="en-GB"/>
        </w:rPr>
        <w:tab/>
        <w:t>Execution of excavation works</w:t>
      </w:r>
    </w:p>
    <w:p w14:paraId="53BBC77D" w14:textId="77777777" w:rsidR="009E1450" w:rsidRDefault="009E1450" w:rsidP="009E1450">
      <w:r>
        <w:rPr>
          <w:lang w:bidi="en-GB"/>
        </w:rPr>
        <w:t>3.</w:t>
      </w:r>
      <w:r>
        <w:rPr>
          <w:lang w:bidi="en-GB"/>
        </w:rPr>
        <w:tab/>
        <w:t>Emergency response works</w:t>
      </w:r>
    </w:p>
    <w:p w14:paraId="65E0E1BF" w14:textId="77777777" w:rsidR="009E1450" w:rsidRDefault="009E1450" w:rsidP="009E1450"/>
    <w:p w14:paraId="7F414655" w14:textId="77777777" w:rsidR="009E1450" w:rsidRDefault="009E1450" w:rsidP="009E1450">
      <w:r>
        <w:rPr>
          <w:lang w:bidi="en-GB"/>
        </w:rPr>
        <w:t>1.</w:t>
      </w:r>
      <w:r>
        <w:rPr>
          <w:lang w:bidi="en-GB"/>
        </w:rPr>
        <w:tab/>
        <w:t>General Provisions</w:t>
      </w:r>
    </w:p>
    <w:p w14:paraId="063424F1" w14:textId="15CB3D7B" w:rsidR="009E1450" w:rsidRDefault="009E1450" w:rsidP="009E1450">
      <w:r>
        <w:rPr>
          <w:lang w:bidi="en-GB"/>
        </w:rPr>
        <w:t xml:space="preserve">This Procedure applies to the execution of excavation works at the sites of the Generation Division of </w:t>
      </w:r>
      <w:r w:rsidR="0027277D">
        <w:rPr>
          <w:lang w:bidi="en-GB"/>
        </w:rPr>
        <w:t>Latvenergo AS</w:t>
      </w:r>
      <w:r>
        <w:rPr>
          <w:lang w:bidi="en-GB"/>
        </w:rPr>
        <w:t xml:space="preserve">, the HPP Technical Management, during the restoration, installation, conservation, demolition, reconstruction, emergency response and recovery works of the structure. The Procedure is binding for all companies, including companies and units of </w:t>
      </w:r>
      <w:r w:rsidR="0027277D">
        <w:rPr>
          <w:lang w:bidi="en-GB"/>
        </w:rPr>
        <w:t>Latvenergo AS</w:t>
      </w:r>
      <w:r>
        <w:rPr>
          <w:lang w:bidi="en-GB"/>
        </w:rPr>
        <w:t xml:space="preserve"> Group.</w:t>
      </w:r>
    </w:p>
    <w:p w14:paraId="1979E0FC" w14:textId="77777777" w:rsidR="009E1450" w:rsidRDefault="009E1450" w:rsidP="009E1450">
      <w:r>
        <w:rPr>
          <w:lang w:bidi="en-GB"/>
        </w:rPr>
        <w:t>This Procedure does not apply to excavation works at a depth of up to 30 cm using hand tools.</w:t>
      </w:r>
    </w:p>
    <w:p w14:paraId="73B8D632" w14:textId="31BBABFB" w:rsidR="009E1450" w:rsidRDefault="009E1450" w:rsidP="009E1450">
      <w:r>
        <w:rPr>
          <w:lang w:bidi="en-GB"/>
        </w:rPr>
        <w:t xml:space="preserve">Before commencing excavation works at the sites of the Generation Division of </w:t>
      </w:r>
      <w:r w:rsidR="0027277D">
        <w:rPr>
          <w:lang w:bidi="en-GB"/>
        </w:rPr>
        <w:t>Latvenergo AS</w:t>
      </w:r>
      <w:r>
        <w:rPr>
          <w:lang w:bidi="en-GB"/>
        </w:rPr>
        <w:t xml:space="preserve">, HPP Technical Management, the contractor shall obtain an excavation permit (hereinafter referred to as – Permit; see Annex 1) from the Hydrotechnical Structures Service of the relevant power plant and shall coordinate it with the companies and units specified in the Permit, as well as have it approved by the Head of the generation facility. If the company with which the excavation works are to be coordinated has issued a separate document for the execution permit, it shall be attached as an annex to the Permit issued by </w:t>
      </w:r>
      <w:r w:rsidR="0027277D">
        <w:rPr>
          <w:lang w:bidi="en-GB"/>
        </w:rPr>
        <w:t>Latvenergo AS</w:t>
      </w:r>
      <w:r>
        <w:rPr>
          <w:lang w:bidi="en-GB"/>
        </w:rPr>
        <w:t xml:space="preserve">. </w:t>
      </w:r>
    </w:p>
    <w:p w14:paraId="14FE3447" w14:textId="77777777" w:rsidR="009E1450" w:rsidRDefault="009E1450" w:rsidP="009E1450">
      <w:r>
        <w:rPr>
          <w:lang w:bidi="en-GB"/>
        </w:rPr>
        <w:t>The Permit shall be prepared in two (2) counterparts, one of which shall be kept at the site of the relevant works and the other – with the Permit issuer. Any changes to the Permit shall be made in both counterparts.</w:t>
      </w:r>
    </w:p>
    <w:p w14:paraId="772841DC" w14:textId="77777777" w:rsidR="009E1450" w:rsidRDefault="009E1450" w:rsidP="009E1450">
      <w:proofErr w:type="gramStart"/>
      <w:r>
        <w:rPr>
          <w:lang w:bidi="en-GB"/>
        </w:rPr>
        <w:t>In order to</w:t>
      </w:r>
      <w:proofErr w:type="gramEnd"/>
      <w:r>
        <w:rPr>
          <w:lang w:bidi="en-GB"/>
        </w:rPr>
        <w:t xml:space="preserve"> carry out works on streets, roads or in their immediate vicinity, the contractor shall carry out the works in accordance with the requirements of Cabinet Regulation No. 421 adopted 11 October 2001 “Regulations on the Equipment of Work Sites on Roads”. </w:t>
      </w:r>
    </w:p>
    <w:p w14:paraId="5E738C5B" w14:textId="77777777" w:rsidR="009E1450" w:rsidRDefault="009E1450" w:rsidP="009E1450">
      <w:r>
        <w:rPr>
          <w:lang w:bidi="en-GB"/>
        </w:rPr>
        <w:t>When carrying out excavation works, the contractor shall ensure compliance with the requirements of the regulatory documents referred to below, or any regulatory documents that supersede and/or replace them:</w:t>
      </w:r>
    </w:p>
    <w:p w14:paraId="11DC6D95" w14:textId="77777777" w:rsidR="009E1450" w:rsidRDefault="009E1450" w:rsidP="009E1450">
      <w:r>
        <w:rPr>
          <w:lang w:bidi="en-GB"/>
        </w:rPr>
        <w:t>•</w:t>
      </w:r>
      <w:r>
        <w:rPr>
          <w:lang w:bidi="en-GB"/>
        </w:rPr>
        <w:tab/>
        <w:t>“Construction Law</w:t>
      </w:r>
      <w:proofErr w:type="gramStart"/>
      <w:r>
        <w:rPr>
          <w:lang w:bidi="en-GB"/>
        </w:rPr>
        <w:t>”;</w:t>
      </w:r>
      <w:proofErr w:type="gramEnd"/>
    </w:p>
    <w:p w14:paraId="50649D88" w14:textId="77777777" w:rsidR="009E1450" w:rsidRDefault="009E1450" w:rsidP="009E1450">
      <w:r>
        <w:rPr>
          <w:lang w:bidi="en-GB"/>
        </w:rPr>
        <w:t>•</w:t>
      </w:r>
      <w:r>
        <w:rPr>
          <w:lang w:bidi="en-GB"/>
        </w:rPr>
        <w:tab/>
        <w:t>“Protection Zone Law</w:t>
      </w:r>
      <w:proofErr w:type="gramStart"/>
      <w:r>
        <w:rPr>
          <w:lang w:bidi="en-GB"/>
        </w:rPr>
        <w:t>”;</w:t>
      </w:r>
      <w:proofErr w:type="gramEnd"/>
      <w:r>
        <w:rPr>
          <w:lang w:bidi="en-GB"/>
        </w:rPr>
        <w:t xml:space="preserve"> </w:t>
      </w:r>
    </w:p>
    <w:p w14:paraId="3EFC5148" w14:textId="77777777" w:rsidR="009E1450" w:rsidRDefault="009E1450" w:rsidP="009E1450">
      <w:r>
        <w:rPr>
          <w:lang w:bidi="en-GB"/>
        </w:rPr>
        <w:t>•</w:t>
      </w:r>
      <w:r>
        <w:rPr>
          <w:lang w:bidi="en-GB"/>
        </w:rPr>
        <w:tab/>
        <w:t>“Waste Management Law</w:t>
      </w:r>
      <w:proofErr w:type="gramStart"/>
      <w:r>
        <w:rPr>
          <w:lang w:bidi="en-GB"/>
        </w:rPr>
        <w:t>”;</w:t>
      </w:r>
      <w:proofErr w:type="gramEnd"/>
    </w:p>
    <w:p w14:paraId="70C7200E" w14:textId="77777777" w:rsidR="009E1450" w:rsidRDefault="009E1450" w:rsidP="009E1450">
      <w:r>
        <w:rPr>
          <w:lang w:bidi="en-GB"/>
        </w:rPr>
        <w:t>•</w:t>
      </w:r>
      <w:r>
        <w:rPr>
          <w:lang w:bidi="en-GB"/>
        </w:rPr>
        <w:tab/>
        <w:t>Cabinet Regulation No. 500 “General Construction Regulations”;</w:t>
      </w:r>
    </w:p>
    <w:p w14:paraId="22259E51" w14:textId="77777777" w:rsidR="009E1450" w:rsidRDefault="009E1450" w:rsidP="009E1450">
      <w:r>
        <w:rPr>
          <w:lang w:bidi="en-GB"/>
        </w:rPr>
        <w:t>•</w:t>
      </w:r>
      <w:r>
        <w:rPr>
          <w:lang w:bidi="en-GB"/>
        </w:rPr>
        <w:tab/>
        <w:t>Cabinet Regulation No. 253 “Construction Regulations for Certain Engineering Structures”;</w:t>
      </w:r>
    </w:p>
    <w:p w14:paraId="18374C31" w14:textId="77777777" w:rsidR="009E1450" w:rsidRDefault="009E1450" w:rsidP="009E1450">
      <w:r>
        <w:rPr>
          <w:lang w:bidi="en-GB"/>
        </w:rPr>
        <w:t>•</w:t>
      </w:r>
      <w:r>
        <w:rPr>
          <w:lang w:bidi="en-GB"/>
        </w:rPr>
        <w:tab/>
        <w:t>Cabinet Regulation No. 529 “Construction Regulations for Buildings”;</w:t>
      </w:r>
    </w:p>
    <w:p w14:paraId="1C72A136" w14:textId="77777777" w:rsidR="009E1450" w:rsidRDefault="009E1450" w:rsidP="009E1450">
      <w:r>
        <w:rPr>
          <w:lang w:bidi="en-GB"/>
        </w:rPr>
        <w:t>•</w:t>
      </w:r>
      <w:r>
        <w:rPr>
          <w:lang w:bidi="en-GB"/>
        </w:rPr>
        <w:tab/>
        <w:t>Cabinet Regulation No. 238 “Fire Safety Regulations”;</w:t>
      </w:r>
    </w:p>
    <w:p w14:paraId="749F4AF0" w14:textId="77777777" w:rsidR="009E1450" w:rsidRDefault="009E1450" w:rsidP="009E1450">
      <w:r>
        <w:rPr>
          <w:lang w:bidi="en-GB"/>
        </w:rPr>
        <w:t>•</w:t>
      </w:r>
      <w:r>
        <w:rPr>
          <w:lang w:bidi="en-GB"/>
        </w:rPr>
        <w:tab/>
        <w:t>Cabinet Regulation No. 359 “Labour Protection Requirements in Workplaces”;</w:t>
      </w:r>
    </w:p>
    <w:p w14:paraId="1E0ACD7B" w14:textId="77777777" w:rsidR="009E1450" w:rsidRDefault="009E1450" w:rsidP="009E1450">
      <w:r>
        <w:rPr>
          <w:lang w:bidi="en-GB"/>
        </w:rPr>
        <w:t>•</w:t>
      </w:r>
      <w:r>
        <w:rPr>
          <w:lang w:bidi="en-GB"/>
        </w:rPr>
        <w:tab/>
        <w:t>Cabinet Regulation No. 92 “Labour Protection Requirements in Performing Construction Work”;</w:t>
      </w:r>
    </w:p>
    <w:p w14:paraId="1F799791" w14:textId="77777777" w:rsidR="009E1450" w:rsidRDefault="009E1450" w:rsidP="009E1450">
      <w:r>
        <w:rPr>
          <w:lang w:bidi="en-GB"/>
        </w:rPr>
        <w:t>•</w:t>
      </w:r>
      <w:r>
        <w:rPr>
          <w:lang w:bidi="en-GB"/>
        </w:rPr>
        <w:tab/>
        <w:t>LEK 037 “Safety requirements when performing work in hydrotechnical structures and hydraulic devices of hydroelectric installations”;</w:t>
      </w:r>
    </w:p>
    <w:p w14:paraId="16B84BC7" w14:textId="77777777" w:rsidR="009E1450" w:rsidRDefault="009E1450" w:rsidP="009E1450">
      <w:r>
        <w:rPr>
          <w:lang w:bidi="en-GB"/>
        </w:rPr>
        <w:t>•</w:t>
      </w:r>
      <w:r>
        <w:rPr>
          <w:lang w:bidi="en-GB"/>
        </w:rPr>
        <w:tab/>
        <w:t>LEK 025 “Safety requirements when performing work in electrical installations”;</w:t>
      </w:r>
    </w:p>
    <w:p w14:paraId="373FCA50" w14:textId="77777777" w:rsidR="009E1450" w:rsidRDefault="009E1450" w:rsidP="009E1450">
      <w:r>
        <w:rPr>
          <w:lang w:bidi="en-GB"/>
        </w:rPr>
        <w:t>•</w:t>
      </w:r>
      <w:r>
        <w:rPr>
          <w:lang w:bidi="en-GB"/>
        </w:rPr>
        <w:tab/>
        <w:t>Latvijas valsts ceļi VSIA Road Construction Specifications ABS 2023/1;</w:t>
      </w:r>
    </w:p>
    <w:p w14:paraId="254141AC" w14:textId="77777777" w:rsidR="009E1450" w:rsidRDefault="009E1450" w:rsidP="009E1450">
      <w:r>
        <w:rPr>
          <w:lang w:bidi="en-GB"/>
        </w:rPr>
        <w:t>•</w:t>
      </w:r>
      <w:r>
        <w:rPr>
          <w:lang w:bidi="en-GB"/>
        </w:rPr>
        <w:tab/>
        <w:t xml:space="preserve">and other regulations and requirements in force in the Republic of Latvia for carrying out the relevant works. </w:t>
      </w:r>
    </w:p>
    <w:p w14:paraId="53811875" w14:textId="77777777" w:rsidR="009E1450" w:rsidRDefault="009E1450" w:rsidP="009E1450"/>
    <w:p w14:paraId="1A942A75" w14:textId="77777777" w:rsidR="009E1450" w:rsidRDefault="009E1450" w:rsidP="009E1450">
      <w:r>
        <w:rPr>
          <w:lang w:bidi="en-GB"/>
        </w:rPr>
        <w:t>Upon completion of the excavation works, including cleaning up of the work area, the contractor shall notify the Permit issuer and the completion of the works shall be documented in the Permit.</w:t>
      </w:r>
    </w:p>
    <w:p w14:paraId="412D77D6" w14:textId="77777777" w:rsidR="009E1450" w:rsidRDefault="009E1450" w:rsidP="009E1450"/>
    <w:p w14:paraId="085B2277" w14:textId="77777777" w:rsidR="009E1450" w:rsidRDefault="009E1450" w:rsidP="009E1450">
      <w:r>
        <w:rPr>
          <w:lang w:bidi="en-GB"/>
        </w:rPr>
        <w:t>2.</w:t>
      </w:r>
      <w:r>
        <w:rPr>
          <w:lang w:bidi="en-GB"/>
        </w:rPr>
        <w:tab/>
        <w:t>Execution of excavation works</w:t>
      </w:r>
    </w:p>
    <w:p w14:paraId="2B45DAEA" w14:textId="77777777" w:rsidR="009E1450" w:rsidRDefault="009E1450" w:rsidP="009E1450">
      <w:r>
        <w:rPr>
          <w:lang w:bidi="en-GB"/>
        </w:rPr>
        <w:t>The excavation works may commence subject to the receipt of all necessary approvals from the underground engineering and communication systems owners.</w:t>
      </w:r>
    </w:p>
    <w:p w14:paraId="31EC18E0" w14:textId="77777777" w:rsidR="009E1450" w:rsidRDefault="009E1450" w:rsidP="009E1450">
      <w:r>
        <w:rPr>
          <w:lang w:bidi="en-GB"/>
        </w:rPr>
        <w:t>The excavation works site shall be enclosed with protective fencing or tape, and safe pedestrian passage (temporary crossings) shall be provided during the works, as well as access to parking areas and structures.</w:t>
      </w:r>
    </w:p>
    <w:p w14:paraId="4983295C" w14:textId="77777777" w:rsidR="009E1450" w:rsidRDefault="009E1450" w:rsidP="009E1450">
      <w:r>
        <w:rPr>
          <w:lang w:bidi="en-GB"/>
        </w:rPr>
        <w:t xml:space="preserve">Prior to the commencement of excavation works, excavations shall be carried out in accordance with the instructions of the owner of the relevant engineering and communication systems </w:t>
      </w:r>
      <w:proofErr w:type="gramStart"/>
      <w:r>
        <w:rPr>
          <w:lang w:bidi="en-GB"/>
        </w:rPr>
        <w:t>in order to</w:t>
      </w:r>
      <w:proofErr w:type="gramEnd"/>
      <w:r>
        <w:rPr>
          <w:lang w:bidi="en-GB"/>
        </w:rPr>
        <w:t xml:space="preserve"> determine the exact location of the route of the engineering and communication systems. Excavation work within one (1) metre of engineering and communication systems may only be carried out using hand tools. If the test trenching reveals that the engineering and communication systems are at least 70 cm deep, the use of excavation equipment to remove the topsoil to a depth of 30 cm shall be permitted. All excavation works within the protection zone of engineering and communication systems shall be carried out in accordance with the requirements specified in the Permit, complying with the relevant operational, labour protection, fire safety, environmental protection and other laws and regulations.</w:t>
      </w:r>
    </w:p>
    <w:p w14:paraId="47D67C0C" w14:textId="77777777" w:rsidR="009E1450" w:rsidRDefault="009E1450" w:rsidP="009E1450">
      <w:r>
        <w:rPr>
          <w:lang w:bidi="en-GB"/>
        </w:rPr>
        <w:t>The contractor shall be responsible for the preservation of the exposed engineering and communication systems during execution of the works.</w:t>
      </w:r>
    </w:p>
    <w:p w14:paraId="0A61B918" w14:textId="77777777" w:rsidR="009E1450" w:rsidRDefault="009E1450" w:rsidP="009E1450">
      <w:r>
        <w:rPr>
          <w:lang w:bidi="en-GB"/>
        </w:rPr>
        <w:t>During excavation works, it is prohibited to fill surface communications, their location markings, geodetic points, manhole covers, boreholes, rainwater drains, switchboards, trees, bushes, greenery, etc.</w:t>
      </w:r>
    </w:p>
    <w:p w14:paraId="6206944D" w14:textId="77777777" w:rsidR="009E1450" w:rsidRDefault="009E1450" w:rsidP="009E1450">
      <w:r>
        <w:rPr>
          <w:lang w:bidi="en-GB"/>
        </w:rPr>
        <w:t xml:space="preserve">If, during the excavation works, underground engineering and communication systems not indicated in the Permit are discovered, the works shall be stopped immediately, protection measures shall be </w:t>
      </w:r>
      <w:proofErr w:type="gramStart"/>
      <w:r>
        <w:rPr>
          <w:lang w:bidi="en-GB"/>
        </w:rPr>
        <w:t>taken</w:t>
      </w:r>
      <w:proofErr w:type="gramEnd"/>
      <w:r>
        <w:rPr>
          <w:lang w:bidi="en-GB"/>
        </w:rPr>
        <w:t xml:space="preserve"> and the Permit issuer shall be informed immediately.</w:t>
      </w:r>
    </w:p>
    <w:p w14:paraId="31742BDC" w14:textId="439E5EF6" w:rsidR="009E1450" w:rsidRDefault="009E1450" w:rsidP="009E1450">
      <w:r>
        <w:rPr>
          <w:lang w:bidi="en-GB"/>
        </w:rPr>
        <w:t>Backfilling of the construction pits (including the trenches) shall be carried out with drainage soil in layers no thicker than 20 cm, with each layer compacted in accordance with the requirements of Latvijas</w:t>
      </w:r>
      <w:r w:rsidR="0027277D">
        <w:rPr>
          <w:lang w:bidi="en-GB"/>
        </w:rPr>
        <w:t> </w:t>
      </w:r>
      <w:r>
        <w:rPr>
          <w:lang w:bidi="en-GB"/>
        </w:rPr>
        <w:t>Valsts</w:t>
      </w:r>
      <w:r w:rsidR="0027277D">
        <w:rPr>
          <w:lang w:bidi="en-GB"/>
        </w:rPr>
        <w:t> </w:t>
      </w:r>
      <w:r>
        <w:rPr>
          <w:lang w:bidi="en-GB"/>
        </w:rPr>
        <w:t>ceļi</w:t>
      </w:r>
      <w:r w:rsidR="0027277D">
        <w:rPr>
          <w:lang w:bidi="en-GB"/>
        </w:rPr>
        <w:t> </w:t>
      </w:r>
      <w:r>
        <w:rPr>
          <w:lang w:bidi="en-GB"/>
        </w:rPr>
        <w:t>VSIA Road Construction Specification ABS</w:t>
      </w:r>
      <w:r w:rsidR="0027277D">
        <w:rPr>
          <w:lang w:bidi="en-GB"/>
        </w:rPr>
        <w:t> </w:t>
      </w:r>
      <w:r>
        <w:rPr>
          <w:lang w:bidi="en-GB"/>
        </w:rPr>
        <w:t>2023/1. Backfilled construction pits (including trenches) on streets (roads), pavements and squares shall be maintained in a condition ensuring the safety of traffic and pedestrian movement until the pavement is re-surfaced. If the depth of the construction pits (including trenches) exceed 1.5 m, measures shall be taken to strengthen their sides.</w:t>
      </w:r>
    </w:p>
    <w:p w14:paraId="50C36140" w14:textId="3D11A191" w:rsidR="009E1450" w:rsidRDefault="009E1450" w:rsidP="009E1450">
      <w:r>
        <w:rPr>
          <w:lang w:bidi="en-GB"/>
        </w:rPr>
        <w:t>The restoration of street (road), pavement and square surfaces, as well as ground surface (including landscaping) shall be carried out in accordance with the Latvijas</w:t>
      </w:r>
      <w:r w:rsidR="0027277D">
        <w:rPr>
          <w:lang w:bidi="en-GB"/>
        </w:rPr>
        <w:t> </w:t>
      </w:r>
      <w:r>
        <w:rPr>
          <w:lang w:bidi="en-GB"/>
        </w:rPr>
        <w:t>Valsts</w:t>
      </w:r>
      <w:r w:rsidR="0027277D">
        <w:rPr>
          <w:lang w:bidi="en-GB"/>
        </w:rPr>
        <w:t> </w:t>
      </w:r>
      <w:r>
        <w:rPr>
          <w:lang w:bidi="en-GB"/>
        </w:rPr>
        <w:t>ceļi</w:t>
      </w:r>
      <w:r w:rsidR="0027277D">
        <w:rPr>
          <w:lang w:bidi="en-GB"/>
        </w:rPr>
        <w:t> </w:t>
      </w:r>
      <w:r>
        <w:rPr>
          <w:lang w:bidi="en-GB"/>
        </w:rPr>
        <w:t>VSIA Road Construction Specification ABS 2023/1.</w:t>
      </w:r>
    </w:p>
    <w:p w14:paraId="7276B548" w14:textId="29600D72" w:rsidR="009E1450" w:rsidRDefault="009E1450" w:rsidP="009E1450">
      <w:r>
        <w:rPr>
          <w:lang w:bidi="en-GB"/>
        </w:rPr>
        <w:t xml:space="preserve">The operational personnel of the Generation Division of </w:t>
      </w:r>
      <w:r w:rsidR="0027277D">
        <w:rPr>
          <w:lang w:bidi="en-GB"/>
        </w:rPr>
        <w:t>Latvenergo AS</w:t>
      </w:r>
      <w:r>
        <w:rPr>
          <w:lang w:bidi="en-GB"/>
        </w:rPr>
        <w:t>, the HPP Technical Management, shall have the right to perform quality control of the executed works, including taking samples for laboratory tests in an accredited laboratory. If the laboratory tests reveal non-compliance with the requirements set out in the laws and regulations, the work shall not be considered as completed.</w:t>
      </w:r>
    </w:p>
    <w:p w14:paraId="4F156D9D" w14:textId="77777777" w:rsidR="009E1450" w:rsidRDefault="009E1450" w:rsidP="009E1450"/>
    <w:p w14:paraId="041AED97" w14:textId="77777777" w:rsidR="009E1450" w:rsidRDefault="009E1450" w:rsidP="009E1450">
      <w:r>
        <w:rPr>
          <w:lang w:bidi="en-GB"/>
        </w:rPr>
        <w:t>3.</w:t>
      </w:r>
      <w:r>
        <w:rPr>
          <w:lang w:bidi="en-GB"/>
        </w:rPr>
        <w:tab/>
        <w:t>Emergency response works</w:t>
      </w:r>
    </w:p>
    <w:p w14:paraId="18196D42" w14:textId="77777777" w:rsidR="009E1450" w:rsidRDefault="009E1450" w:rsidP="009E1450">
      <w:r>
        <w:rPr>
          <w:lang w:bidi="en-GB"/>
        </w:rPr>
        <w:t xml:space="preserve">The emergency response works necessary shall be organised by the owners of the engineering and communication systems concerned. </w:t>
      </w:r>
    </w:p>
    <w:p w14:paraId="228147AF" w14:textId="7F7C36E5" w:rsidR="009E1450" w:rsidRDefault="009E1450" w:rsidP="009E1450">
      <w:r>
        <w:rPr>
          <w:lang w:bidi="en-GB"/>
        </w:rPr>
        <w:t xml:space="preserve">The Heads of the relevant power plant and the Hydraulic Structures Service of the Generation Division of </w:t>
      </w:r>
      <w:r w:rsidR="0027277D">
        <w:rPr>
          <w:lang w:bidi="en-GB"/>
        </w:rPr>
        <w:t>Latvenergo AS</w:t>
      </w:r>
      <w:r>
        <w:rPr>
          <w:lang w:bidi="en-GB"/>
        </w:rPr>
        <w:t xml:space="preserve">, the HPP Technical Management, shall be immediately notified of the </w:t>
      </w:r>
      <w:proofErr w:type="gramStart"/>
      <w:r>
        <w:rPr>
          <w:lang w:bidi="en-GB"/>
        </w:rPr>
        <w:t>emergency situation</w:t>
      </w:r>
      <w:proofErr w:type="gramEnd"/>
      <w:r>
        <w:rPr>
          <w:lang w:bidi="en-GB"/>
        </w:rPr>
        <w:t xml:space="preserve"> and shall immediately commence emergency response works in compliance with the engineering and communication systems protection regulations.</w:t>
      </w:r>
    </w:p>
    <w:p w14:paraId="54A7BBB8" w14:textId="77777777" w:rsidR="009E1450" w:rsidRDefault="009E1450" w:rsidP="009E1450">
      <w:r>
        <w:rPr>
          <w:lang w:bidi="en-GB"/>
        </w:rPr>
        <w:t>A Permit must be obtained from the Hydraulic Structures Service of the relevant power plant by no later than 10:00 on the next business day. It must be coordinated in accordance with the provisions of this Procedure.</w:t>
      </w:r>
    </w:p>
    <w:p w14:paraId="41D9760F" w14:textId="26FB25DD" w:rsidR="00101DA8" w:rsidRPr="003814BE" w:rsidRDefault="009E1450" w:rsidP="009E1450">
      <w:r>
        <w:rPr>
          <w:lang w:bidi="en-GB"/>
        </w:rPr>
        <w:lastRenderedPageBreak/>
        <w:t>It is forbidden to carry out new construction or planned repair work on engineering and communication systems, designating such work as emergency response works.</w:t>
      </w:r>
    </w:p>
    <w:sectPr w:rsidR="00101DA8" w:rsidRPr="003814BE">
      <w:headerReference w:type="even" r:id="rId8"/>
      <w:headerReference w:type="default" r:id="rId9"/>
      <w:footerReference w:type="even" r:id="rId10"/>
      <w:headerReference w:type="first" r:id="rId11"/>
      <w:pgSz w:w="11907" w:h="16840" w:code="9"/>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7587" w14:textId="77777777" w:rsidR="00BB134F" w:rsidRDefault="00BB134F">
      <w:r>
        <w:separator/>
      </w:r>
    </w:p>
  </w:endnote>
  <w:endnote w:type="continuationSeparator" w:id="0">
    <w:p w14:paraId="5C971116" w14:textId="77777777" w:rsidR="00BB134F" w:rsidRDefault="00B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C885" w14:textId="77777777" w:rsidR="00B94D52" w:rsidRDefault="00B94D52">
    <w:pPr>
      <w:pStyle w:val="Footer"/>
    </w:pPr>
  </w:p>
  <w:p w14:paraId="32A39ADE" w14:textId="77777777" w:rsidR="00B94D52" w:rsidRDefault="00B94D52"/>
  <w:p w14:paraId="4978F690" w14:textId="77777777" w:rsidR="00B94D52" w:rsidRDefault="00B94D52"/>
  <w:p w14:paraId="4097C9D4" w14:textId="77777777" w:rsidR="00B94D52" w:rsidRDefault="00B94D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69E5" w14:textId="77777777" w:rsidR="00BB134F" w:rsidRDefault="00BB134F">
      <w:r>
        <w:separator/>
      </w:r>
    </w:p>
  </w:footnote>
  <w:footnote w:type="continuationSeparator" w:id="0">
    <w:p w14:paraId="1B7CF3AE" w14:textId="77777777" w:rsidR="00BB134F" w:rsidRDefault="00BB1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2878" w14:textId="77777777" w:rsidR="00B94D52" w:rsidRDefault="00B94D52">
    <w:pPr>
      <w:pStyle w:val="Header"/>
    </w:pPr>
  </w:p>
  <w:p w14:paraId="205364C7" w14:textId="77777777" w:rsidR="00B94D52" w:rsidRDefault="00B94D52"/>
  <w:p w14:paraId="3A4DF053" w14:textId="77777777" w:rsidR="00B94D52" w:rsidRDefault="00B94D52"/>
  <w:p w14:paraId="5B09654F" w14:textId="77777777" w:rsidR="00B94D52" w:rsidRDefault="00B94D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8"/>
      <w:gridCol w:w="6904"/>
      <w:gridCol w:w="1102"/>
    </w:tblGrid>
    <w:tr w:rsidR="00B94D52" w14:paraId="7E762289" w14:textId="77777777" w:rsidTr="00167456">
      <w:trPr>
        <w:cantSplit/>
      </w:trPr>
      <w:tc>
        <w:tcPr>
          <w:tcW w:w="938" w:type="pct"/>
          <w:tcBorders>
            <w:top w:val="single" w:sz="4" w:space="0" w:color="auto"/>
            <w:left w:val="single" w:sz="4" w:space="0" w:color="auto"/>
            <w:bottom w:val="single" w:sz="4" w:space="0" w:color="auto"/>
            <w:right w:val="single" w:sz="4" w:space="0" w:color="auto"/>
          </w:tcBorders>
        </w:tcPr>
        <w:p w14:paraId="65EDB17A" w14:textId="77777777" w:rsidR="00B94D52" w:rsidRDefault="00B94D52">
          <w:pPr>
            <w:pStyle w:val="Header"/>
          </w:pPr>
          <w:r>
            <w:rPr>
              <w:lang w:bidi="en-GB"/>
            </w:rPr>
            <w:t xml:space="preserve">Number: </w:t>
          </w:r>
          <w:bookmarkStart w:id="0" w:name="DocNum_2"/>
          <w:r>
            <w:rPr>
              <w:lang w:bidi="en-GB"/>
            </w:rPr>
            <w:t>K076</w:t>
          </w:r>
          <w:bookmarkEnd w:id="0"/>
        </w:p>
        <w:p w14:paraId="6ABE9598" w14:textId="239D3DF3" w:rsidR="00B94D52" w:rsidRDefault="00CF1930" w:rsidP="00D868F3">
          <w:pPr>
            <w:pStyle w:val="Header"/>
          </w:pPr>
          <w:r>
            <w:rPr>
              <w:lang w:bidi="en-GB"/>
            </w:rPr>
            <w:t>Revision</w:t>
          </w:r>
          <w:r w:rsidR="00B94D52">
            <w:rPr>
              <w:lang w:bidi="en-GB"/>
            </w:rPr>
            <w:t xml:space="preserve">: </w:t>
          </w:r>
          <w:bookmarkStart w:id="1" w:name="DocVers_2"/>
          <w:r w:rsidR="00B94D52">
            <w:rPr>
              <w:lang w:bidi="en-GB"/>
            </w:rPr>
            <w:t>04</w:t>
          </w:r>
          <w:bookmarkEnd w:id="1"/>
        </w:p>
      </w:tc>
      <w:tc>
        <w:tcPr>
          <w:tcW w:w="3503" w:type="pct"/>
          <w:tcBorders>
            <w:top w:val="single" w:sz="4" w:space="0" w:color="auto"/>
            <w:left w:val="single" w:sz="4" w:space="0" w:color="auto"/>
            <w:bottom w:val="single" w:sz="4" w:space="0" w:color="auto"/>
            <w:right w:val="single" w:sz="4" w:space="0" w:color="auto"/>
          </w:tcBorders>
        </w:tcPr>
        <w:p w14:paraId="2C7DE739" w14:textId="77777777" w:rsidR="00B94D52" w:rsidRDefault="00B94D52">
          <w:pPr>
            <w:pStyle w:val="Header"/>
            <w:rPr>
              <w:sz w:val="20"/>
            </w:rPr>
          </w:pPr>
          <w:r>
            <w:rPr>
              <w:sz w:val="20"/>
              <w:lang w:bidi="en-GB"/>
            </w:rPr>
            <w:t xml:space="preserve"> </w:t>
          </w:r>
          <w:bookmarkStart w:id="2" w:name="DocTypeName"/>
          <w:r>
            <w:rPr>
              <w:sz w:val="20"/>
              <w:lang w:bidi="en-GB"/>
            </w:rPr>
            <w:t>Procedure</w:t>
          </w:r>
          <w:bookmarkEnd w:id="2"/>
          <w:r>
            <w:rPr>
              <w:sz w:val="20"/>
              <w:lang w:bidi="en-GB"/>
            </w:rPr>
            <w:t xml:space="preserve"> </w:t>
          </w:r>
        </w:p>
        <w:p w14:paraId="751C4AF9" w14:textId="42183DE6" w:rsidR="00B94D52" w:rsidRPr="00D868F3" w:rsidRDefault="00B94D52" w:rsidP="000121CD">
          <w:pPr>
            <w:pStyle w:val="Header"/>
            <w:rPr>
              <w:bCs/>
              <w:sz w:val="20"/>
            </w:rPr>
          </w:pPr>
          <w:r>
            <w:rPr>
              <w:b/>
              <w:sz w:val="20"/>
              <w:lang w:bidi="en-GB"/>
            </w:rPr>
            <w:t xml:space="preserve"> </w:t>
          </w:r>
          <w:bookmarkStart w:id="3" w:name="DocName"/>
          <w:r>
            <w:rPr>
              <w:sz w:val="20"/>
              <w:lang w:bidi="en-GB"/>
            </w:rPr>
            <w:t xml:space="preserve">Procedure for excavation works at the sites of the HPP Technical Management of </w:t>
          </w:r>
          <w:r w:rsidR="0027277D">
            <w:rPr>
              <w:sz w:val="20"/>
              <w:lang w:bidi="en-GB"/>
            </w:rPr>
            <w:t>Latvenergo AS</w:t>
          </w:r>
          <w:bookmarkEnd w:id="3"/>
          <w:r>
            <w:rPr>
              <w:sz w:val="20"/>
              <w:lang w:bidi="en-GB"/>
            </w:rPr>
            <w:t xml:space="preserve"> </w:t>
          </w:r>
        </w:p>
      </w:tc>
      <w:tc>
        <w:tcPr>
          <w:tcW w:w="560" w:type="pct"/>
          <w:tcBorders>
            <w:top w:val="single" w:sz="4" w:space="0" w:color="auto"/>
            <w:left w:val="single" w:sz="4" w:space="0" w:color="auto"/>
            <w:bottom w:val="single" w:sz="4" w:space="0" w:color="auto"/>
            <w:right w:val="single" w:sz="4" w:space="0" w:color="auto"/>
          </w:tcBorders>
        </w:tcPr>
        <w:p w14:paraId="5975276B" w14:textId="77777777" w:rsidR="00B94D52" w:rsidRDefault="00B94D52">
          <w:pPr>
            <w:pStyle w:val="Header"/>
          </w:pPr>
          <w:r>
            <w:rPr>
              <w:lang w:bidi="en-GB"/>
            </w:rPr>
            <w:t xml:space="preserve">Page </w:t>
          </w:r>
          <w:r>
            <w:rPr>
              <w:rStyle w:val="PageNumber"/>
              <w:lang w:bidi="en-GB"/>
            </w:rPr>
            <w:fldChar w:fldCharType="begin"/>
          </w:r>
          <w:r>
            <w:rPr>
              <w:rStyle w:val="PageNumber"/>
              <w:lang w:bidi="en-GB"/>
            </w:rPr>
            <w:instrText xml:space="preserve"> PAGE </w:instrText>
          </w:r>
          <w:r>
            <w:rPr>
              <w:rStyle w:val="PageNumber"/>
              <w:lang w:bidi="en-GB"/>
            </w:rPr>
            <w:fldChar w:fldCharType="separate"/>
          </w:r>
          <w:r w:rsidR="009E1450">
            <w:rPr>
              <w:rStyle w:val="PageNumber"/>
              <w:noProof/>
              <w:lang w:bidi="en-GB"/>
            </w:rPr>
            <w:t>2</w:t>
          </w:r>
          <w:r>
            <w:rPr>
              <w:rStyle w:val="PageNumber"/>
              <w:lang w:bidi="en-GB"/>
            </w:rPr>
            <w:fldChar w:fldCharType="end"/>
          </w:r>
          <w:r>
            <w:rPr>
              <w:rStyle w:val="PageNumber"/>
              <w:lang w:bidi="en-GB"/>
            </w:rPr>
            <w:t xml:space="preserve"> (</w:t>
          </w:r>
          <w:r>
            <w:rPr>
              <w:rStyle w:val="PageNumber"/>
              <w:lang w:bidi="en-GB"/>
            </w:rPr>
            <w:fldChar w:fldCharType="begin"/>
          </w:r>
          <w:r>
            <w:rPr>
              <w:rStyle w:val="PageNumber"/>
              <w:lang w:bidi="en-GB"/>
            </w:rPr>
            <w:instrText xml:space="preserve"> NUMPAGES </w:instrText>
          </w:r>
          <w:r>
            <w:rPr>
              <w:rStyle w:val="PageNumber"/>
              <w:lang w:bidi="en-GB"/>
            </w:rPr>
            <w:fldChar w:fldCharType="separate"/>
          </w:r>
          <w:r w:rsidR="009E1450">
            <w:rPr>
              <w:rStyle w:val="PageNumber"/>
              <w:noProof/>
              <w:lang w:bidi="en-GB"/>
            </w:rPr>
            <w:t>2</w:t>
          </w:r>
          <w:r>
            <w:rPr>
              <w:rStyle w:val="PageNumber"/>
              <w:lang w:bidi="en-GB"/>
            </w:rPr>
            <w:fldChar w:fldCharType="end"/>
          </w:r>
          <w:r>
            <w:rPr>
              <w:rStyle w:val="PageNumber"/>
              <w:lang w:bidi="en-GB"/>
            </w:rPr>
            <w:t>)</w:t>
          </w:r>
        </w:p>
      </w:tc>
    </w:tr>
  </w:tbl>
  <w:p w14:paraId="1517ECD7" w14:textId="77777777" w:rsidR="00B94D52" w:rsidRDefault="00B94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02"/>
      <w:gridCol w:w="3344"/>
      <w:gridCol w:w="1090"/>
      <w:gridCol w:w="1110"/>
      <w:gridCol w:w="1108"/>
    </w:tblGrid>
    <w:tr w:rsidR="005D579C" w14:paraId="61123D38" w14:textId="77777777" w:rsidTr="00167456">
      <w:trPr>
        <w:cantSplit/>
        <w:trHeight w:val="370"/>
      </w:trPr>
      <w:tc>
        <w:tcPr>
          <w:tcW w:w="1625" w:type="pct"/>
          <w:vMerge w:val="restart"/>
          <w:tcBorders>
            <w:top w:val="single" w:sz="4" w:space="0" w:color="auto"/>
            <w:right w:val="single" w:sz="4" w:space="0" w:color="auto"/>
          </w:tcBorders>
        </w:tcPr>
        <w:p w14:paraId="584ECFE2" w14:textId="77777777" w:rsidR="00101DA8" w:rsidRDefault="00CF1930" w:rsidP="00946C16">
          <w:pPr>
            <w:spacing w:before="60" w:after="60"/>
            <w:ind w:hanging="119"/>
            <w:jc w:val="center"/>
            <w:rPr>
              <w:color w:val="000080"/>
              <w:sz w:val="20"/>
            </w:rPr>
          </w:pPr>
          <w:r>
            <w:rPr>
              <w:sz w:val="20"/>
              <w:lang w:bidi="en-GB"/>
            </w:rPr>
            <w:pict w14:anchorId="43858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2pt;height:18.6pt">
                <v:imagedata r:id="rId1" o:title="Latvenergo_RGB"/>
              </v:shape>
            </w:pict>
          </w:r>
        </w:p>
        <w:p w14:paraId="6289FA13" w14:textId="77777777" w:rsidR="00101DA8" w:rsidRPr="00101DA8" w:rsidRDefault="00C1079A" w:rsidP="00C1079A">
          <w:pPr>
            <w:spacing w:after="60"/>
            <w:jc w:val="left"/>
            <w:rPr>
              <w:color w:val="000080"/>
              <w:sz w:val="14"/>
              <w:szCs w:val="14"/>
            </w:rPr>
          </w:pPr>
          <w:bookmarkStart w:id="4" w:name="Company"/>
          <w:r>
            <w:rPr>
              <w:color w:val="000080"/>
              <w:sz w:val="14"/>
              <w:szCs w:val="14"/>
              <w:lang w:bidi="en-GB"/>
            </w:rPr>
            <w:t>Public Limited Company Latvenergo</w:t>
          </w:r>
          <w:bookmarkEnd w:id="4"/>
        </w:p>
        <w:p w14:paraId="624B9719" w14:textId="77777777" w:rsidR="005D579C" w:rsidRPr="00C1079A" w:rsidRDefault="00C1079A" w:rsidP="00C1079A">
          <w:pPr>
            <w:spacing w:after="60"/>
            <w:jc w:val="left"/>
            <w:rPr>
              <w:color w:val="000080"/>
              <w:sz w:val="14"/>
              <w:szCs w:val="14"/>
            </w:rPr>
          </w:pPr>
          <w:bookmarkStart w:id="5" w:name="CompanyID"/>
          <w:r>
            <w:rPr>
              <w:color w:val="000080"/>
              <w:sz w:val="14"/>
              <w:szCs w:val="14"/>
              <w:lang w:bidi="en-GB"/>
            </w:rPr>
            <w:t>Unified reg. No. 40003032949</w:t>
          </w:r>
          <w:bookmarkEnd w:id="5"/>
        </w:p>
      </w:tc>
      <w:tc>
        <w:tcPr>
          <w:tcW w:w="2813" w:type="pct"/>
          <w:gridSpan w:val="3"/>
          <w:vMerge w:val="restart"/>
          <w:tcBorders>
            <w:top w:val="single" w:sz="4" w:space="0" w:color="auto"/>
            <w:left w:val="single" w:sz="4" w:space="0" w:color="auto"/>
          </w:tcBorders>
        </w:tcPr>
        <w:p w14:paraId="08F07F04" w14:textId="77777777" w:rsidR="005D579C" w:rsidRDefault="000121CD">
          <w:pPr>
            <w:pStyle w:val="Header"/>
            <w:rPr>
              <w:sz w:val="20"/>
            </w:rPr>
          </w:pPr>
          <w:bookmarkStart w:id="6" w:name="DocTypeName_2"/>
          <w:r>
            <w:rPr>
              <w:sz w:val="20"/>
              <w:lang w:bidi="en-GB"/>
            </w:rPr>
            <w:t>Procedure</w:t>
          </w:r>
        </w:p>
        <w:p w14:paraId="0D456345" w14:textId="50491082" w:rsidR="005D579C" w:rsidRDefault="000121CD" w:rsidP="000121CD">
          <w:pPr>
            <w:pStyle w:val="Header"/>
            <w:rPr>
              <w:sz w:val="20"/>
            </w:rPr>
          </w:pPr>
          <w:bookmarkStart w:id="7" w:name="DocName_2"/>
          <w:bookmarkEnd w:id="6"/>
          <w:r>
            <w:rPr>
              <w:b/>
              <w:sz w:val="20"/>
              <w:lang w:bidi="en-GB"/>
            </w:rPr>
            <w:t xml:space="preserve">Procedure for excavation works at the sites of the HPP Technical Management of </w:t>
          </w:r>
          <w:r w:rsidR="0027277D">
            <w:rPr>
              <w:b/>
              <w:sz w:val="20"/>
              <w:lang w:bidi="en-GB"/>
            </w:rPr>
            <w:t>Latvenergo AS</w:t>
          </w:r>
          <w:bookmarkEnd w:id="7"/>
          <w:r>
            <w:rPr>
              <w:b/>
              <w:sz w:val="20"/>
              <w:lang w:bidi="en-GB"/>
            </w:rPr>
            <w:t xml:space="preserve"> </w:t>
          </w:r>
        </w:p>
      </w:tc>
      <w:tc>
        <w:tcPr>
          <w:tcW w:w="563" w:type="pct"/>
          <w:tcBorders>
            <w:top w:val="single" w:sz="4" w:space="0" w:color="auto"/>
            <w:left w:val="single" w:sz="4" w:space="0" w:color="auto"/>
            <w:bottom w:val="single" w:sz="4" w:space="0" w:color="auto"/>
          </w:tcBorders>
        </w:tcPr>
        <w:p w14:paraId="39FE04FD" w14:textId="77777777" w:rsidR="005D579C" w:rsidRDefault="005D579C" w:rsidP="00F50DF3">
          <w:pPr>
            <w:pStyle w:val="Header"/>
          </w:pPr>
          <w:r>
            <w:rPr>
              <w:lang w:bidi="en-GB"/>
            </w:rPr>
            <w:t xml:space="preserve">Page </w:t>
          </w:r>
          <w:r>
            <w:rPr>
              <w:rStyle w:val="PageNumber"/>
              <w:lang w:bidi="en-GB"/>
            </w:rPr>
            <w:fldChar w:fldCharType="begin"/>
          </w:r>
          <w:r>
            <w:rPr>
              <w:rStyle w:val="PageNumber"/>
              <w:lang w:bidi="en-GB"/>
            </w:rPr>
            <w:instrText xml:space="preserve"> PAGE </w:instrText>
          </w:r>
          <w:r>
            <w:rPr>
              <w:rStyle w:val="PageNumber"/>
              <w:lang w:bidi="en-GB"/>
            </w:rPr>
            <w:fldChar w:fldCharType="separate"/>
          </w:r>
          <w:r w:rsidR="009E1450">
            <w:rPr>
              <w:rStyle w:val="PageNumber"/>
              <w:noProof/>
              <w:lang w:bidi="en-GB"/>
            </w:rPr>
            <w:t>1</w:t>
          </w:r>
          <w:r>
            <w:rPr>
              <w:rStyle w:val="PageNumber"/>
              <w:lang w:bidi="en-GB"/>
            </w:rPr>
            <w:fldChar w:fldCharType="end"/>
          </w:r>
          <w:r>
            <w:rPr>
              <w:rStyle w:val="PageNumber"/>
              <w:lang w:bidi="en-GB"/>
            </w:rPr>
            <w:t xml:space="preserve"> (</w:t>
          </w:r>
          <w:r>
            <w:rPr>
              <w:rStyle w:val="PageNumber"/>
              <w:lang w:bidi="en-GB"/>
            </w:rPr>
            <w:fldChar w:fldCharType="begin"/>
          </w:r>
          <w:r>
            <w:rPr>
              <w:rStyle w:val="PageNumber"/>
              <w:lang w:bidi="en-GB"/>
            </w:rPr>
            <w:instrText xml:space="preserve"> NUMPAGES </w:instrText>
          </w:r>
          <w:r>
            <w:rPr>
              <w:rStyle w:val="PageNumber"/>
              <w:lang w:bidi="en-GB"/>
            </w:rPr>
            <w:fldChar w:fldCharType="separate"/>
          </w:r>
          <w:r w:rsidR="009E1450">
            <w:rPr>
              <w:rStyle w:val="PageNumber"/>
              <w:noProof/>
              <w:lang w:bidi="en-GB"/>
            </w:rPr>
            <w:t>2</w:t>
          </w:r>
          <w:r>
            <w:rPr>
              <w:rStyle w:val="PageNumber"/>
              <w:lang w:bidi="en-GB"/>
            </w:rPr>
            <w:fldChar w:fldCharType="end"/>
          </w:r>
          <w:r>
            <w:rPr>
              <w:rStyle w:val="PageNumber"/>
              <w:lang w:bidi="en-GB"/>
            </w:rPr>
            <w:t>)</w:t>
          </w:r>
        </w:p>
      </w:tc>
    </w:tr>
    <w:tr w:rsidR="005D579C" w14:paraId="65D3A5EC" w14:textId="77777777" w:rsidTr="00167456">
      <w:trPr>
        <w:cantSplit/>
        <w:trHeight w:val="370"/>
      </w:trPr>
      <w:tc>
        <w:tcPr>
          <w:tcW w:w="1625" w:type="pct"/>
          <w:vMerge/>
          <w:tcBorders>
            <w:bottom w:val="single" w:sz="4" w:space="0" w:color="auto"/>
            <w:right w:val="single" w:sz="4" w:space="0" w:color="auto"/>
          </w:tcBorders>
        </w:tcPr>
        <w:p w14:paraId="13C368FC" w14:textId="77777777" w:rsidR="005D579C" w:rsidRDefault="005D579C">
          <w:pPr>
            <w:pStyle w:val="Header"/>
          </w:pPr>
        </w:p>
      </w:tc>
      <w:tc>
        <w:tcPr>
          <w:tcW w:w="2813" w:type="pct"/>
          <w:gridSpan w:val="3"/>
          <w:vMerge/>
          <w:tcBorders>
            <w:left w:val="single" w:sz="4" w:space="0" w:color="auto"/>
            <w:bottom w:val="single" w:sz="4" w:space="0" w:color="auto"/>
          </w:tcBorders>
        </w:tcPr>
        <w:p w14:paraId="4A9F44A4" w14:textId="77777777" w:rsidR="005D579C" w:rsidRDefault="005D579C">
          <w:pPr>
            <w:pStyle w:val="Header"/>
            <w:rPr>
              <w:sz w:val="20"/>
            </w:rPr>
          </w:pPr>
        </w:p>
      </w:tc>
      <w:tc>
        <w:tcPr>
          <w:tcW w:w="563" w:type="pct"/>
          <w:tcBorders>
            <w:top w:val="single" w:sz="4" w:space="0" w:color="auto"/>
            <w:left w:val="single" w:sz="4" w:space="0" w:color="auto"/>
            <w:bottom w:val="single" w:sz="4" w:space="0" w:color="auto"/>
          </w:tcBorders>
        </w:tcPr>
        <w:p w14:paraId="5B193127" w14:textId="77777777" w:rsidR="003645D9" w:rsidRDefault="003645D9" w:rsidP="003645D9">
          <w:pPr>
            <w:pStyle w:val="Header"/>
          </w:pPr>
          <w:r>
            <w:rPr>
              <w:lang w:bidi="en-GB"/>
            </w:rPr>
            <w:t xml:space="preserve">Number: </w:t>
          </w:r>
          <w:bookmarkStart w:id="8" w:name="DocNum"/>
          <w:r>
            <w:rPr>
              <w:lang w:bidi="en-GB"/>
            </w:rPr>
            <w:t>K076</w:t>
          </w:r>
          <w:bookmarkEnd w:id="8"/>
        </w:p>
        <w:p w14:paraId="707F7C62" w14:textId="4C1926A1" w:rsidR="005D579C" w:rsidRDefault="00CF1930" w:rsidP="007307F5">
          <w:pPr>
            <w:pStyle w:val="Header"/>
          </w:pPr>
          <w:r>
            <w:rPr>
              <w:lang w:bidi="en-GB"/>
            </w:rPr>
            <w:t>Revision</w:t>
          </w:r>
          <w:r w:rsidR="003645D9">
            <w:rPr>
              <w:lang w:bidi="en-GB"/>
            </w:rPr>
            <w:t xml:space="preserve">: </w:t>
          </w:r>
          <w:bookmarkStart w:id="9" w:name="DocVers"/>
          <w:r w:rsidR="003645D9">
            <w:rPr>
              <w:lang w:bidi="en-GB"/>
            </w:rPr>
            <w:t>04</w:t>
          </w:r>
          <w:bookmarkEnd w:id="9"/>
          <w:r w:rsidR="003645D9">
            <w:rPr>
              <w:lang w:bidi="en-GB"/>
            </w:rPr>
            <w:t xml:space="preserve"> </w:t>
          </w:r>
        </w:p>
      </w:tc>
    </w:tr>
    <w:tr w:rsidR="007307F5" w14:paraId="5335EE02" w14:textId="77777777" w:rsidTr="00167456">
      <w:trPr>
        <w:cantSplit/>
      </w:trPr>
      <w:tc>
        <w:tcPr>
          <w:tcW w:w="3322" w:type="pct"/>
          <w:gridSpan w:val="2"/>
          <w:tcBorders>
            <w:top w:val="single" w:sz="4" w:space="0" w:color="auto"/>
            <w:left w:val="single" w:sz="4" w:space="0" w:color="auto"/>
            <w:bottom w:val="single" w:sz="4" w:space="0" w:color="auto"/>
            <w:right w:val="single" w:sz="4" w:space="0" w:color="auto"/>
          </w:tcBorders>
        </w:tcPr>
        <w:tbl>
          <w:tblPr>
            <w:tblW w:w="5000" w:type="pct"/>
            <w:tblCellMar>
              <w:left w:w="0" w:type="dxa"/>
              <w:right w:w="0" w:type="dxa"/>
            </w:tblCellMar>
            <w:tblLook w:val="04A0" w:firstRow="1" w:lastRow="0" w:firstColumn="1" w:lastColumn="0" w:noHBand="0" w:noVBand="1"/>
          </w:tblPr>
          <w:tblGrid>
            <w:gridCol w:w="1095"/>
            <w:gridCol w:w="5235"/>
          </w:tblGrid>
          <w:tr w:rsidR="005E060C" w14:paraId="5C0DC54E" w14:textId="77777777" w:rsidTr="00167456">
            <w:tc>
              <w:tcPr>
                <w:tcW w:w="1064" w:type="dxa"/>
                <w:shd w:val="clear" w:color="auto" w:fill="auto"/>
              </w:tcPr>
              <w:p w14:paraId="0391455A" w14:textId="77777777" w:rsidR="000121CD" w:rsidRDefault="000121CD" w:rsidP="003645D9">
                <w:pPr>
                  <w:pStyle w:val="Header"/>
                </w:pPr>
                <w:r>
                  <w:rPr>
                    <w:lang w:bidi="en-GB"/>
                  </w:rPr>
                  <w:t>Drawn up by:</w:t>
                </w:r>
              </w:p>
            </w:tc>
            <w:tc>
              <w:tcPr>
                <w:tcW w:w="5089" w:type="dxa"/>
                <w:shd w:val="clear" w:color="auto" w:fill="auto"/>
              </w:tcPr>
              <w:p w14:paraId="771E2F69" w14:textId="77777777" w:rsidR="000121CD" w:rsidRDefault="000121CD" w:rsidP="003645D9">
                <w:pPr>
                  <w:pStyle w:val="Header"/>
                </w:pPr>
                <w:bookmarkStart w:id="10" w:name="Author"/>
                <w:r>
                  <w:rPr>
                    <w:lang w:bidi="en-GB"/>
                  </w:rPr>
                  <w:t>Civil Engineer, Dainis Celmiņš</w:t>
                </w:r>
                <w:bookmarkEnd w:id="10"/>
              </w:p>
            </w:tc>
          </w:tr>
          <w:tr w:rsidR="005E060C" w14:paraId="331F3F0F" w14:textId="77777777" w:rsidTr="00167456">
            <w:tc>
              <w:tcPr>
                <w:tcW w:w="1064" w:type="dxa"/>
                <w:shd w:val="clear" w:color="auto" w:fill="auto"/>
              </w:tcPr>
              <w:p w14:paraId="17572C69" w14:textId="77777777" w:rsidR="000121CD" w:rsidRDefault="000121CD" w:rsidP="003645D9">
                <w:pPr>
                  <w:pStyle w:val="Header"/>
                </w:pPr>
                <w:r>
                  <w:rPr>
                    <w:lang w:bidi="en-GB"/>
                  </w:rPr>
                  <w:t>Approved by:</w:t>
                </w:r>
              </w:p>
            </w:tc>
            <w:tc>
              <w:tcPr>
                <w:tcW w:w="5089" w:type="dxa"/>
                <w:shd w:val="clear" w:color="auto" w:fill="auto"/>
              </w:tcPr>
              <w:p w14:paraId="064F8147" w14:textId="77777777" w:rsidR="000121CD" w:rsidRDefault="000121CD" w:rsidP="003645D9">
                <w:pPr>
                  <w:pStyle w:val="Header"/>
                </w:pPr>
                <w:bookmarkStart w:id="11" w:name="DocApprover"/>
                <w:r>
                  <w:rPr>
                    <w:lang w:bidi="en-GB"/>
                  </w:rPr>
                  <w:t>Head of HPP Technical Unit, Ēvalds Kazāks, Salaspils, 31 January 2023</w:t>
                </w:r>
                <w:bookmarkEnd w:id="11"/>
              </w:p>
            </w:tc>
          </w:tr>
          <w:tr w:rsidR="005E060C" w14:paraId="626B4625" w14:textId="77777777" w:rsidTr="00167456">
            <w:tc>
              <w:tcPr>
                <w:tcW w:w="1064" w:type="dxa"/>
                <w:shd w:val="clear" w:color="auto" w:fill="auto"/>
              </w:tcPr>
              <w:p w14:paraId="50C2FA1D" w14:textId="77777777" w:rsidR="000121CD" w:rsidRDefault="000121CD" w:rsidP="003645D9">
                <w:pPr>
                  <w:pStyle w:val="Header"/>
                </w:pPr>
                <w:bookmarkStart w:id="12" w:name="DocReapprover_Title"/>
                <w:r>
                  <w:rPr>
                    <w:lang w:bidi="en-GB"/>
                  </w:rPr>
                  <w:t xml:space="preserve"> </w:t>
                </w:r>
                <w:bookmarkEnd w:id="12"/>
              </w:p>
            </w:tc>
            <w:tc>
              <w:tcPr>
                <w:tcW w:w="5089" w:type="dxa"/>
                <w:shd w:val="clear" w:color="auto" w:fill="auto"/>
              </w:tcPr>
              <w:p w14:paraId="6302184E" w14:textId="77777777" w:rsidR="000121CD" w:rsidRDefault="000121CD" w:rsidP="003645D9">
                <w:pPr>
                  <w:pStyle w:val="Header"/>
                </w:pPr>
                <w:bookmarkStart w:id="13" w:name="DocReapprover"/>
                <w:r>
                  <w:rPr>
                    <w:lang w:bidi="en-GB"/>
                  </w:rPr>
                  <w:t xml:space="preserve"> </w:t>
                </w:r>
                <w:bookmarkEnd w:id="13"/>
              </w:p>
            </w:tc>
          </w:tr>
        </w:tbl>
        <w:p w14:paraId="486EE32A" w14:textId="77777777" w:rsidR="007307F5" w:rsidRDefault="007307F5" w:rsidP="000121CD">
          <w:pPr>
            <w:pStyle w:val="Header"/>
          </w:pPr>
        </w:p>
      </w:tc>
      <w:tc>
        <w:tcPr>
          <w:tcW w:w="553" w:type="pct"/>
          <w:tcBorders>
            <w:top w:val="single" w:sz="4" w:space="0" w:color="auto"/>
            <w:left w:val="single" w:sz="4" w:space="0" w:color="auto"/>
            <w:bottom w:val="single" w:sz="4" w:space="0" w:color="auto"/>
            <w:right w:val="single" w:sz="4" w:space="0" w:color="auto"/>
          </w:tcBorders>
        </w:tcPr>
        <w:p w14:paraId="610DA769" w14:textId="77777777" w:rsidR="003645D9" w:rsidRDefault="003645D9" w:rsidP="003645D9">
          <w:pPr>
            <w:pStyle w:val="Header"/>
          </w:pPr>
          <w:r>
            <w:rPr>
              <w:lang w:bidi="en-GB"/>
            </w:rPr>
            <w:t>Document valid from:</w:t>
          </w:r>
        </w:p>
        <w:p w14:paraId="63DC4939" w14:textId="77777777" w:rsidR="007307F5" w:rsidRDefault="003645D9" w:rsidP="000121CD">
          <w:pPr>
            <w:pStyle w:val="Header"/>
          </w:pPr>
          <w:bookmarkStart w:id="14" w:name="StartDate_2"/>
          <w:r>
            <w:rPr>
              <w:lang w:bidi="en-GB"/>
            </w:rPr>
            <w:t>30.04.2008</w:t>
          </w:r>
          <w:bookmarkEnd w:id="14"/>
        </w:p>
      </w:tc>
      <w:tc>
        <w:tcPr>
          <w:tcW w:w="563" w:type="pct"/>
          <w:tcBorders>
            <w:top w:val="single" w:sz="4" w:space="0" w:color="auto"/>
            <w:left w:val="single" w:sz="4" w:space="0" w:color="auto"/>
            <w:bottom w:val="single" w:sz="4" w:space="0" w:color="auto"/>
            <w:right w:val="single" w:sz="4" w:space="0" w:color="auto"/>
          </w:tcBorders>
        </w:tcPr>
        <w:p w14:paraId="14F206FF" w14:textId="77777777" w:rsidR="007307F5" w:rsidRDefault="007307F5">
          <w:pPr>
            <w:pStyle w:val="Header"/>
          </w:pPr>
          <w:r>
            <w:rPr>
              <w:lang w:bidi="en-GB"/>
            </w:rPr>
            <w:t>Version valid from:</w:t>
          </w:r>
        </w:p>
        <w:p w14:paraId="24031EB5" w14:textId="77777777" w:rsidR="007307F5" w:rsidRDefault="000121CD">
          <w:pPr>
            <w:pStyle w:val="Header"/>
          </w:pPr>
          <w:bookmarkStart w:id="15" w:name="DocVersStartDate"/>
          <w:r>
            <w:rPr>
              <w:lang w:bidi="en-GB"/>
            </w:rPr>
            <w:t>31.01.2023</w:t>
          </w:r>
          <w:bookmarkEnd w:id="15"/>
        </w:p>
      </w:tc>
      <w:tc>
        <w:tcPr>
          <w:tcW w:w="563" w:type="pct"/>
          <w:tcBorders>
            <w:top w:val="single" w:sz="4" w:space="0" w:color="auto"/>
            <w:left w:val="single" w:sz="4" w:space="0" w:color="auto"/>
            <w:bottom w:val="single" w:sz="4" w:space="0" w:color="auto"/>
            <w:right w:val="single" w:sz="4" w:space="0" w:color="auto"/>
          </w:tcBorders>
        </w:tcPr>
        <w:p w14:paraId="26BDD6D4" w14:textId="77777777" w:rsidR="002E7E6A" w:rsidRDefault="00484B81" w:rsidP="002B4DBE">
          <w:pPr>
            <w:pStyle w:val="Header"/>
          </w:pPr>
          <w:r>
            <w:rPr>
              <w:lang w:bidi="en-GB"/>
            </w:rPr>
            <w:t>Valid until:</w:t>
          </w:r>
        </w:p>
        <w:p w14:paraId="5BE74B05" w14:textId="2DADDB2F" w:rsidR="007307F5" w:rsidRPr="004D2367" w:rsidRDefault="002B4DBE" w:rsidP="002B4DBE">
          <w:pPr>
            <w:pStyle w:val="Header"/>
            <w:rPr>
              <w:szCs w:val="16"/>
            </w:rPr>
          </w:pPr>
          <w:r>
            <w:rPr>
              <w:lang w:bidi="en-GB"/>
            </w:rPr>
            <w:t xml:space="preserve"> </w:t>
          </w:r>
        </w:p>
      </w:tc>
    </w:tr>
  </w:tbl>
  <w:p w14:paraId="56F8B1D8" w14:textId="77777777" w:rsidR="00B94D52" w:rsidRDefault="00B94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4C40A6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C7BCEF1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E33D33"/>
    <w:multiLevelType w:val="hybridMultilevel"/>
    <w:tmpl w:val="F7AC37BE"/>
    <w:lvl w:ilvl="0" w:tplc="3D9841B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F1BE0"/>
    <w:multiLevelType w:val="multilevel"/>
    <w:tmpl w:val="E1562C7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7" w15:restartNumberingAfterBreak="0">
    <w:nsid w:val="11E47DF0"/>
    <w:multiLevelType w:val="hybridMultilevel"/>
    <w:tmpl w:val="71761BF4"/>
    <w:lvl w:ilvl="0" w:tplc="AC04C748">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7655D6"/>
    <w:multiLevelType w:val="multilevel"/>
    <w:tmpl w:val="7A8CB6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F2115C"/>
    <w:multiLevelType w:val="hybridMultilevel"/>
    <w:tmpl w:val="E856ADCA"/>
    <w:lvl w:ilvl="0" w:tplc="C1C891FE">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DE5687"/>
    <w:multiLevelType w:val="hybridMultilevel"/>
    <w:tmpl w:val="992A5F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9D779F"/>
    <w:multiLevelType w:val="hybridMultilevel"/>
    <w:tmpl w:val="CB0AF866"/>
    <w:lvl w:ilvl="0" w:tplc="B0702C2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E457D0"/>
    <w:multiLevelType w:val="hybridMultilevel"/>
    <w:tmpl w:val="00E801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7F44C85"/>
    <w:multiLevelType w:val="hybridMultilevel"/>
    <w:tmpl w:val="F424A8E4"/>
    <w:lvl w:ilvl="0" w:tplc="C76AAEB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5B6293"/>
    <w:multiLevelType w:val="multilevel"/>
    <w:tmpl w:val="7A8CB6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A280C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C242D10"/>
    <w:multiLevelType w:val="hybridMultilevel"/>
    <w:tmpl w:val="42C02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241F5B"/>
    <w:multiLevelType w:val="multilevel"/>
    <w:tmpl w:val="CB0AF866"/>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200083"/>
    <w:multiLevelType w:val="hybridMultilevel"/>
    <w:tmpl w:val="4754DD16"/>
    <w:lvl w:ilvl="0" w:tplc="77382C6E">
      <w:start w:val="1"/>
      <w:numFmt w:val="lowerLetter"/>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F4754A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4102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62B150F"/>
    <w:multiLevelType w:val="multilevel"/>
    <w:tmpl w:val="B7ACB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15288946">
    <w:abstractNumId w:val="10"/>
  </w:num>
  <w:num w:numId="2" w16cid:durableId="1542863412">
    <w:abstractNumId w:val="18"/>
  </w:num>
  <w:num w:numId="3" w16cid:durableId="1826164514">
    <w:abstractNumId w:val="21"/>
  </w:num>
  <w:num w:numId="4" w16cid:durableId="2128620789">
    <w:abstractNumId w:val="13"/>
  </w:num>
  <w:num w:numId="5" w16cid:durableId="1773436157">
    <w:abstractNumId w:val="12"/>
  </w:num>
  <w:num w:numId="6" w16cid:durableId="1406107428">
    <w:abstractNumId w:val="6"/>
  </w:num>
  <w:num w:numId="7" w16cid:durableId="1516532664">
    <w:abstractNumId w:val="11"/>
  </w:num>
  <w:num w:numId="8" w16cid:durableId="1626425956">
    <w:abstractNumId w:val="17"/>
  </w:num>
  <w:num w:numId="9" w16cid:durableId="840849556">
    <w:abstractNumId w:val="5"/>
  </w:num>
  <w:num w:numId="10" w16cid:durableId="707216788">
    <w:abstractNumId w:val="9"/>
  </w:num>
  <w:num w:numId="11" w16cid:durableId="566451683">
    <w:abstractNumId w:val="4"/>
  </w:num>
  <w:num w:numId="12" w16cid:durableId="2060283102">
    <w:abstractNumId w:val="2"/>
  </w:num>
  <w:num w:numId="13" w16cid:durableId="928075866">
    <w:abstractNumId w:val="1"/>
  </w:num>
  <w:num w:numId="14" w16cid:durableId="168107899">
    <w:abstractNumId w:val="0"/>
  </w:num>
  <w:num w:numId="15" w16cid:durableId="1411080018">
    <w:abstractNumId w:val="3"/>
  </w:num>
  <w:num w:numId="16" w16cid:durableId="65342995">
    <w:abstractNumId w:val="7"/>
  </w:num>
  <w:num w:numId="17" w16cid:durableId="379980471">
    <w:abstractNumId w:val="14"/>
  </w:num>
  <w:num w:numId="18" w16cid:durableId="2093775827">
    <w:abstractNumId w:val="8"/>
  </w:num>
  <w:num w:numId="19" w16cid:durableId="1123885752">
    <w:abstractNumId w:val="19"/>
  </w:num>
  <w:num w:numId="20" w16cid:durableId="1128084024">
    <w:abstractNumId w:val="20"/>
  </w:num>
  <w:num w:numId="21" w16cid:durableId="858468005">
    <w:abstractNumId w:val="15"/>
  </w:num>
  <w:num w:numId="22" w16cid:durableId="9222251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5CB1"/>
    <w:rsid w:val="000121CD"/>
    <w:rsid w:val="00024DDC"/>
    <w:rsid w:val="00047921"/>
    <w:rsid w:val="00054559"/>
    <w:rsid w:val="00101DA8"/>
    <w:rsid w:val="00111D43"/>
    <w:rsid w:val="00123EC8"/>
    <w:rsid w:val="00130BF3"/>
    <w:rsid w:val="001329AD"/>
    <w:rsid w:val="00134BA0"/>
    <w:rsid w:val="00167456"/>
    <w:rsid w:val="0017147A"/>
    <w:rsid w:val="001E0662"/>
    <w:rsid w:val="001E42E3"/>
    <w:rsid w:val="001E5D9B"/>
    <w:rsid w:val="002050E9"/>
    <w:rsid w:val="00225096"/>
    <w:rsid w:val="0026373F"/>
    <w:rsid w:val="0027277D"/>
    <w:rsid w:val="002A268F"/>
    <w:rsid w:val="002B4DBE"/>
    <w:rsid w:val="002D5EFE"/>
    <w:rsid w:val="002E66AE"/>
    <w:rsid w:val="002E7E6A"/>
    <w:rsid w:val="003645D9"/>
    <w:rsid w:val="003814BE"/>
    <w:rsid w:val="00400C4E"/>
    <w:rsid w:val="004641AF"/>
    <w:rsid w:val="004750DA"/>
    <w:rsid w:val="00484B81"/>
    <w:rsid w:val="004A3E31"/>
    <w:rsid w:val="004C3B51"/>
    <w:rsid w:val="004D2367"/>
    <w:rsid w:val="004E003D"/>
    <w:rsid w:val="005043D2"/>
    <w:rsid w:val="00504942"/>
    <w:rsid w:val="00597EE8"/>
    <w:rsid w:val="005B0E37"/>
    <w:rsid w:val="005C3686"/>
    <w:rsid w:val="005C7DF4"/>
    <w:rsid w:val="005D579C"/>
    <w:rsid w:val="005E060C"/>
    <w:rsid w:val="006073D3"/>
    <w:rsid w:val="00665C67"/>
    <w:rsid w:val="006753FF"/>
    <w:rsid w:val="007307F5"/>
    <w:rsid w:val="00734A6D"/>
    <w:rsid w:val="00761AD0"/>
    <w:rsid w:val="007C0A01"/>
    <w:rsid w:val="007D5CC7"/>
    <w:rsid w:val="008038CB"/>
    <w:rsid w:val="0081141A"/>
    <w:rsid w:val="008234D2"/>
    <w:rsid w:val="008E5FAE"/>
    <w:rsid w:val="008F0303"/>
    <w:rsid w:val="00924590"/>
    <w:rsid w:val="00946C16"/>
    <w:rsid w:val="00977752"/>
    <w:rsid w:val="009B07F2"/>
    <w:rsid w:val="009B1660"/>
    <w:rsid w:val="009E1450"/>
    <w:rsid w:val="009E28D4"/>
    <w:rsid w:val="00A52068"/>
    <w:rsid w:val="00A57841"/>
    <w:rsid w:val="00A607EB"/>
    <w:rsid w:val="00AC0F4B"/>
    <w:rsid w:val="00AE5A53"/>
    <w:rsid w:val="00B94D52"/>
    <w:rsid w:val="00BB134F"/>
    <w:rsid w:val="00BE683A"/>
    <w:rsid w:val="00C1079A"/>
    <w:rsid w:val="00C142AF"/>
    <w:rsid w:val="00C14C5F"/>
    <w:rsid w:val="00C36A7A"/>
    <w:rsid w:val="00C41C49"/>
    <w:rsid w:val="00C60741"/>
    <w:rsid w:val="00CF1930"/>
    <w:rsid w:val="00D35BDB"/>
    <w:rsid w:val="00D530DE"/>
    <w:rsid w:val="00D868F3"/>
    <w:rsid w:val="00DC3FE0"/>
    <w:rsid w:val="00E53BCF"/>
    <w:rsid w:val="00E97CF4"/>
    <w:rsid w:val="00EC5CB1"/>
    <w:rsid w:val="00EF127A"/>
    <w:rsid w:val="00EF35E8"/>
    <w:rsid w:val="00F45FD0"/>
    <w:rsid w:val="00F50DF3"/>
    <w:rsid w:val="00F50F25"/>
    <w:rsid w:val="00FA59D9"/>
    <w:rsid w:val="00FA7316"/>
    <w:rsid w:val="00FB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F9CAD"/>
  <w15:docId w15:val="{B7768627-08D1-4335-8BAF-97A499EC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eastAsia="en-US"/>
    </w:rPr>
  </w:style>
  <w:style w:type="paragraph" w:styleId="Heading1">
    <w:name w:val="heading 1"/>
    <w:basedOn w:val="Normal"/>
    <w:next w:val="Normal"/>
    <w:qFormat/>
    <w:pPr>
      <w:keepNext/>
      <w:numPr>
        <w:numId w:val="10"/>
      </w:numPr>
      <w:tabs>
        <w:tab w:val="clear" w:pos="720"/>
      </w:tabs>
      <w:spacing w:before="600" w:after="240"/>
      <w:ind w:left="360"/>
      <w:jc w:val="left"/>
      <w:outlineLvl w:val="0"/>
    </w:pPr>
    <w:rPr>
      <w:b/>
      <w:sz w:val="28"/>
    </w:rPr>
  </w:style>
  <w:style w:type="paragraph" w:styleId="Heading2">
    <w:name w:val="heading 2"/>
    <w:basedOn w:val="Normal"/>
    <w:next w:val="Normal"/>
    <w:qFormat/>
    <w:pPr>
      <w:keepNext/>
      <w:spacing w:before="360" w:after="240"/>
      <w:jc w:val="left"/>
      <w:outlineLvl w:val="1"/>
    </w:pPr>
    <w:rPr>
      <w:b/>
      <w:i/>
      <w:iC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240"/>
      </w:tabs>
      <w:spacing w:before="60"/>
      <w:jc w:val="left"/>
    </w:pPr>
    <w:rPr>
      <w:rFonts w:cs="Arial"/>
      <w:sz w:val="16"/>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BodyText2">
    <w:name w:val="Body Text 2"/>
    <w:basedOn w:val="Normal"/>
    <w:pPr>
      <w:jc w:val="left"/>
    </w:pPr>
    <w:rPr>
      <w:sz w:val="20"/>
      <w:szCs w:val="20"/>
    </w:rPr>
  </w:style>
  <w:style w:type="paragraph" w:styleId="Title">
    <w:name w:val="Title"/>
    <w:basedOn w:val="Normal"/>
    <w:qFormat/>
    <w:pPr>
      <w:jc w:val="center"/>
    </w:pPr>
    <w:rPr>
      <w:b/>
      <w:sz w:val="32"/>
    </w:rPr>
  </w:style>
  <w:style w:type="paragraph" w:styleId="BodyText">
    <w:name w:val="Body Text"/>
    <w:basedOn w:val="Normal"/>
  </w:style>
  <w:style w:type="paragraph" w:styleId="TOC1">
    <w:name w:val="toc 1"/>
    <w:basedOn w:val="Normal"/>
    <w:next w:val="Normal"/>
    <w:autoRedefine/>
    <w:semiHidden/>
    <w:pPr>
      <w:tabs>
        <w:tab w:val="left" w:pos="480"/>
        <w:tab w:val="right" w:leader="dot" w:pos="9345"/>
      </w:tabs>
      <w:spacing w:before="120" w:after="120"/>
      <w:jc w:val="left"/>
    </w:pPr>
    <w:rPr>
      <w:rFonts w:cs="Arial"/>
      <w:b/>
      <w:bCs/>
      <w:noProof/>
    </w:rPr>
  </w:style>
  <w:style w:type="paragraph" w:styleId="TOC2">
    <w:name w:val="toc 2"/>
    <w:basedOn w:val="Normal"/>
    <w:next w:val="Normal"/>
    <w:autoRedefine/>
    <w:semiHidden/>
    <w:pPr>
      <w:tabs>
        <w:tab w:val="right" w:leader="dot" w:pos="9345"/>
      </w:tabs>
      <w:ind w:left="240"/>
      <w:jc w:val="left"/>
    </w:pPr>
    <w:rPr>
      <w:rFonts w:cs="Arial"/>
      <w:noProof/>
    </w:rPr>
  </w:style>
  <w:style w:type="paragraph" w:styleId="TOC3">
    <w:name w:val="toc 3"/>
    <w:basedOn w:val="Normal"/>
    <w:next w:val="Normal"/>
    <w:autoRedefine/>
    <w:semiHidden/>
    <w:pPr>
      <w:ind w:left="480"/>
      <w:jc w:val="left"/>
    </w:pPr>
    <w:rPr>
      <w:i/>
      <w:iCs/>
    </w:rPr>
  </w:style>
  <w:style w:type="paragraph" w:styleId="TOC4">
    <w:name w:val="toc 4"/>
    <w:basedOn w:val="Normal"/>
    <w:next w:val="Normal"/>
    <w:autoRedefine/>
    <w:semiHidden/>
    <w:pPr>
      <w:ind w:left="720"/>
      <w:jc w:val="left"/>
    </w:pPr>
    <w:rPr>
      <w:szCs w:val="21"/>
    </w:rPr>
  </w:style>
  <w:style w:type="paragraph" w:styleId="TOC5">
    <w:name w:val="toc 5"/>
    <w:basedOn w:val="Normal"/>
    <w:next w:val="Normal"/>
    <w:autoRedefine/>
    <w:semiHidden/>
    <w:pPr>
      <w:ind w:left="960"/>
      <w:jc w:val="left"/>
    </w:pPr>
    <w:rPr>
      <w:szCs w:val="21"/>
    </w:rPr>
  </w:style>
  <w:style w:type="paragraph" w:styleId="TOC6">
    <w:name w:val="toc 6"/>
    <w:basedOn w:val="Normal"/>
    <w:next w:val="Normal"/>
    <w:autoRedefine/>
    <w:semiHidden/>
    <w:pPr>
      <w:ind w:left="1200"/>
      <w:jc w:val="left"/>
    </w:pPr>
    <w:rPr>
      <w:szCs w:val="21"/>
    </w:rPr>
  </w:style>
  <w:style w:type="paragraph" w:styleId="TOC7">
    <w:name w:val="toc 7"/>
    <w:basedOn w:val="Normal"/>
    <w:next w:val="Normal"/>
    <w:autoRedefine/>
    <w:semiHidden/>
    <w:pPr>
      <w:ind w:left="1440"/>
      <w:jc w:val="left"/>
    </w:pPr>
    <w:rPr>
      <w:szCs w:val="21"/>
    </w:rPr>
  </w:style>
  <w:style w:type="paragraph" w:styleId="TOC8">
    <w:name w:val="toc 8"/>
    <w:basedOn w:val="Normal"/>
    <w:next w:val="Normal"/>
    <w:autoRedefine/>
    <w:semiHidden/>
    <w:pPr>
      <w:ind w:left="1680"/>
      <w:jc w:val="left"/>
    </w:pPr>
    <w:rPr>
      <w:szCs w:val="21"/>
    </w:rPr>
  </w:style>
  <w:style w:type="paragraph" w:styleId="TOC9">
    <w:name w:val="toc 9"/>
    <w:basedOn w:val="Normal"/>
    <w:next w:val="Normal"/>
    <w:autoRedefine/>
    <w:semiHidden/>
    <w:pPr>
      <w:ind w:left="1920"/>
      <w:jc w:val="left"/>
    </w:pPr>
    <w:rPr>
      <w:szCs w:val="21"/>
    </w:rPr>
  </w:style>
  <w:style w:type="character" w:styleId="Hyperlink">
    <w:name w:val="Hyperlink"/>
    <w:rPr>
      <w:color w:val="0000FF"/>
      <w:u w:val="single"/>
    </w:rPr>
  </w:style>
  <w:style w:type="paragraph" w:styleId="BodyTextIndent">
    <w:name w:val="Body Text Indent"/>
    <w:basedOn w:val="Normal"/>
    <w:pPr>
      <w:ind w:left="5400"/>
    </w:pPr>
    <w:rPr>
      <w:color w:val="000080"/>
      <w:sz w:val="20"/>
    </w:rPr>
  </w:style>
  <w:style w:type="paragraph" w:styleId="ListBullet">
    <w:name w:val="List Bullet"/>
    <w:basedOn w:val="Normal"/>
    <w:autoRedefine/>
    <w:pPr>
      <w:numPr>
        <w:numId w:val="16"/>
      </w:numPr>
      <w:ind w:left="641" w:hanging="357"/>
    </w:pPr>
  </w:style>
  <w:style w:type="character" w:styleId="FollowedHyperlink">
    <w:name w:val="FollowedHyperlink"/>
    <w:rPr>
      <w:color w:val="800080"/>
      <w:u w:val="single"/>
    </w:rPr>
  </w:style>
  <w:style w:type="table" w:styleId="TableGrid">
    <w:name w:val="Table Grid"/>
    <w:basedOn w:val="TableNormal"/>
    <w:rsid w:val="000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71868-B520-46B5-BD0A-26CE2241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4508</Words>
  <Characters>2570</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LATVENERGO AS</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urats</dc:creator>
  <cp:keywords/>
  <cp:lastModifiedBy>Sigita Veide</cp:lastModifiedBy>
  <cp:revision>3</cp:revision>
  <cp:lastPrinted>2015-08-07T10:44:00Z</cp:lastPrinted>
  <dcterms:created xsi:type="dcterms:W3CDTF">2023-07-20T06:45:00Z</dcterms:created>
  <dcterms:modified xsi:type="dcterms:W3CDTF">2023-08-15T05:11:00Z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IS_DOCUMENT">
    <vt:lpwstr>1</vt:lpwstr>
  </property>
  <property fmtid="{D5CDD505-2E9C-101B-9397-08002B2CF9AE}" pid="3" name="Company">
    <vt:lpwstr>Akciju sabiedrība "Latvenergo"</vt:lpwstr>
  </property>
  <property fmtid="{D5CDD505-2E9C-101B-9397-08002B2CF9AE}" pid="4" name="CompanyID">
    <vt:lpwstr>Vien. reģ. Nr. 40003032949</vt:lpwstr>
  </property>
  <property fmtid="{D5CDD505-2E9C-101B-9397-08002B2CF9AE}" pid="5" name="LotusNotesDocumentUNID">
    <vt:lpwstr>04706B1A80DDBC70C2257CF30015FCDF</vt:lpwstr>
  </property>
  <property fmtid="{D5CDD505-2E9C-101B-9397-08002B2CF9AE}" pid="6" name="LotusNotesTemplateDocumentCode">
    <vt:lpwstr>ODIS_DOCX</vt:lpwstr>
  </property>
</Properties>
</file>