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9034F" w14:textId="1A9AFA88" w:rsidR="001F1E97" w:rsidRPr="00E7304B" w:rsidRDefault="001F1E97" w:rsidP="008551F7">
      <w:pPr>
        <w:spacing w:after="160" w:line="259" w:lineRule="auto"/>
        <w:jc w:val="center"/>
        <w:rPr>
          <w:rFonts w:ascii="Times New Roman" w:hAnsi="Times New Roman" w:cs="Times New Roman"/>
          <w:b/>
          <w:bCs/>
          <w:caps/>
        </w:rPr>
      </w:pPr>
      <w:r w:rsidRPr="00E7304B">
        <w:rPr>
          <w:rFonts w:ascii="Times New Roman" w:hAnsi="Times New Roman" w:cs="Times New Roman"/>
          <w:b/>
          <w:bCs/>
          <w:caps/>
        </w:rPr>
        <w:t>Indeksācijas kārtība</w:t>
      </w:r>
    </w:p>
    <w:p w14:paraId="6020C48A" w14:textId="77777777" w:rsidR="001F1E97" w:rsidRPr="00E7304B" w:rsidRDefault="001F1E97" w:rsidP="001F1E97">
      <w:pPr>
        <w:spacing w:after="0" w:line="240" w:lineRule="auto"/>
        <w:jc w:val="center"/>
        <w:rPr>
          <w:rFonts w:ascii="Times New Roman" w:hAnsi="Times New Roman" w:cs="Times New Roman"/>
          <w:b/>
          <w:bCs/>
          <w:u w:val="single"/>
        </w:rPr>
      </w:pPr>
    </w:p>
    <w:p w14:paraId="6420CFFA" w14:textId="77777777" w:rsidR="001F1E97" w:rsidRPr="00E7304B" w:rsidRDefault="001F1E97" w:rsidP="001F1E97">
      <w:pPr>
        <w:pStyle w:val="ListParagraph"/>
        <w:rPr>
          <w:rFonts w:ascii="Times New Roman" w:hAnsi="Times New Roman" w:cs="Times New Roman"/>
          <w:b/>
          <w:bCs/>
          <w:u w:val="single"/>
        </w:rPr>
      </w:pPr>
    </w:p>
    <w:tbl>
      <w:tblPr>
        <w:tblStyle w:val="TableGrid"/>
        <w:tblW w:w="9502"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02"/>
      </w:tblGrid>
      <w:tr w:rsidR="001F1E97" w:rsidRPr="00E7304B" w14:paraId="3D86692F" w14:textId="77777777" w:rsidTr="00481668">
        <w:tc>
          <w:tcPr>
            <w:tcW w:w="9502" w:type="dxa"/>
          </w:tcPr>
          <w:p w14:paraId="59D78E99" w14:textId="24C872C3" w:rsidR="001F1E97" w:rsidRPr="001F1E97" w:rsidRDefault="008551F7" w:rsidP="001F1E97">
            <w:pPr>
              <w:rPr>
                <w:b/>
                <w:bCs/>
              </w:rPr>
            </w:pPr>
            <w:r>
              <w:rPr>
                <w:b/>
                <w:bCs/>
              </w:rPr>
              <w:t>Indeksa veids -</w:t>
            </w:r>
            <w:r w:rsidR="001F1E97" w:rsidRPr="001F1E97">
              <w:rPr>
                <w:b/>
                <w:bCs/>
              </w:rPr>
              <w:t xml:space="preserve"> </w:t>
            </w:r>
            <w:r w:rsidRPr="008551F7">
              <w:t>RCB040c. Būvniecības izmaksu indeksi pa objektu grupām un resursu veidiem (2021=100)</w:t>
            </w:r>
          </w:p>
        </w:tc>
      </w:tr>
      <w:tr w:rsidR="001F1E97" w:rsidRPr="00E7304B" w14:paraId="480F9381" w14:textId="77777777" w:rsidTr="00481668">
        <w:tc>
          <w:tcPr>
            <w:tcW w:w="9502" w:type="dxa"/>
          </w:tcPr>
          <w:p w14:paraId="687E159A" w14:textId="7593E0A6" w:rsidR="001F1E97" w:rsidRPr="00E7304B" w:rsidRDefault="008551F7" w:rsidP="00481668">
            <w:pPr>
              <w:spacing w:before="120" w:after="120" w:line="240" w:lineRule="auto"/>
              <w:rPr>
                <w:sz w:val="22"/>
                <w:szCs w:val="22"/>
              </w:rPr>
            </w:pPr>
            <w:r w:rsidRPr="00E7304B">
              <w:rPr>
                <w:b/>
                <w:bCs/>
                <w:sz w:val="22"/>
                <w:szCs w:val="22"/>
              </w:rPr>
              <w:t xml:space="preserve">Datu avots </w:t>
            </w:r>
            <w:r w:rsidR="001F1E97" w:rsidRPr="001F1E97">
              <w:rPr>
                <w:b/>
                <w:bCs/>
                <w:sz w:val="22"/>
                <w:szCs w:val="22"/>
              </w:rPr>
              <w:t>-</w:t>
            </w:r>
            <w:r w:rsidR="001F1E97" w:rsidRPr="001F1E97">
              <w:rPr>
                <w:sz w:val="22"/>
                <w:szCs w:val="22"/>
              </w:rPr>
              <w:t xml:space="preserve"> https://data.stat.gov.lv/pxweb/lv/OSP_PUB/START__VEK__RC__RCB/RCB040c/</w:t>
            </w:r>
          </w:p>
        </w:tc>
      </w:tr>
      <w:tr w:rsidR="001F1E97" w:rsidRPr="00E7304B" w14:paraId="7EC11CCC" w14:textId="77777777" w:rsidTr="00481668">
        <w:tc>
          <w:tcPr>
            <w:tcW w:w="9502" w:type="dxa"/>
          </w:tcPr>
          <w:p w14:paraId="189A9E8C" w14:textId="77777777" w:rsidR="001F1E97" w:rsidRPr="00E7304B" w:rsidRDefault="001F1E97" w:rsidP="00481668">
            <w:pPr>
              <w:pStyle w:val="ListParagraph"/>
              <w:ind w:left="0"/>
              <w:jc w:val="both"/>
              <w:rPr>
                <w:b/>
                <w:bCs/>
                <w:sz w:val="22"/>
                <w:szCs w:val="22"/>
                <w:u w:val="single"/>
              </w:rPr>
            </w:pPr>
            <w:r w:rsidRPr="00E7304B">
              <w:rPr>
                <w:b/>
                <w:bCs/>
                <w:sz w:val="22"/>
                <w:szCs w:val="22"/>
              </w:rPr>
              <w:t>Bāzes periods</w:t>
            </w:r>
            <w:r w:rsidRPr="00E7304B">
              <w:rPr>
                <w:sz w:val="22"/>
                <w:szCs w:val="22"/>
              </w:rPr>
              <w:t xml:space="preserve"> - ceturksnis</w:t>
            </w:r>
            <w:r w:rsidRPr="00E7304B">
              <w:rPr>
                <w:rStyle w:val="FootnoteReference"/>
                <w:sz w:val="22"/>
                <w:szCs w:val="22"/>
              </w:rPr>
              <w:footnoteReference w:id="2"/>
            </w:r>
            <w:r w:rsidRPr="00E7304B">
              <w:rPr>
                <w:sz w:val="22"/>
                <w:szCs w:val="22"/>
              </w:rPr>
              <w:t>, kurā iesniegti galīgie piedāvājumi</w:t>
            </w:r>
            <w:r>
              <w:rPr>
                <w:sz w:val="22"/>
                <w:szCs w:val="22"/>
              </w:rPr>
              <w:t>.</w:t>
            </w:r>
          </w:p>
        </w:tc>
      </w:tr>
      <w:tr w:rsidR="001F1E97" w:rsidRPr="00E7304B" w14:paraId="6EAFC01D" w14:textId="77777777" w:rsidTr="00481668">
        <w:tc>
          <w:tcPr>
            <w:tcW w:w="9502" w:type="dxa"/>
          </w:tcPr>
          <w:p w14:paraId="517ACA4D" w14:textId="77777777" w:rsidR="001F1E97" w:rsidRPr="00E7304B" w:rsidRDefault="001F1E97" w:rsidP="00481668">
            <w:pPr>
              <w:spacing w:after="240"/>
              <w:rPr>
                <w:sz w:val="22"/>
                <w:szCs w:val="22"/>
              </w:rPr>
            </w:pPr>
            <w:r w:rsidRPr="00E7304B">
              <w:rPr>
                <w:b/>
                <w:bCs/>
                <w:sz w:val="22"/>
                <w:szCs w:val="22"/>
              </w:rPr>
              <w:t>Pārskata periods</w:t>
            </w:r>
            <w:r w:rsidRPr="00E7304B">
              <w:rPr>
                <w:sz w:val="22"/>
                <w:szCs w:val="22"/>
              </w:rPr>
              <w:t xml:space="preserve"> - ceturksnis, par kuru tiek aprēķināta korekcijas summa.</w:t>
            </w:r>
          </w:p>
        </w:tc>
      </w:tr>
      <w:tr w:rsidR="001F1E97" w:rsidRPr="00E7304B" w14:paraId="6C29FDA5" w14:textId="77777777" w:rsidTr="00481668">
        <w:tc>
          <w:tcPr>
            <w:tcW w:w="9502" w:type="dxa"/>
          </w:tcPr>
          <w:p w14:paraId="676A1810" w14:textId="77777777" w:rsidR="001F1E97" w:rsidRPr="00E7304B" w:rsidRDefault="001F1E97" w:rsidP="00481668">
            <w:pPr>
              <w:spacing w:after="120"/>
              <w:jc w:val="both"/>
              <w:rPr>
                <w:sz w:val="22"/>
                <w:szCs w:val="22"/>
              </w:rPr>
            </w:pPr>
            <w:r w:rsidRPr="00E7304B">
              <w:rPr>
                <w:b/>
                <w:bCs/>
                <w:sz w:val="22"/>
                <w:szCs w:val="22"/>
              </w:rPr>
              <w:t xml:space="preserve">Indeksācijas periods – </w:t>
            </w:r>
            <w:r w:rsidRPr="00E7304B">
              <w:rPr>
                <w:sz w:val="22"/>
                <w:szCs w:val="22"/>
              </w:rPr>
              <w:t xml:space="preserve">Indeksēti tiek būvdarbi, kas izpildīti sākot no līguma noslēgšanas (piemēram, ja līgums ir noslēgts oktobrī tad indeksācija tiek piemērota sākot ar oktobra mēnesī izpildītājiem darbiem) līdz Līguma darbu pabeigšanai. </w:t>
            </w:r>
          </w:p>
        </w:tc>
      </w:tr>
      <w:tr w:rsidR="001F1E97" w:rsidRPr="00E7304B" w14:paraId="288595D2" w14:textId="77777777" w:rsidTr="00481668">
        <w:tc>
          <w:tcPr>
            <w:tcW w:w="9502" w:type="dxa"/>
          </w:tcPr>
          <w:p w14:paraId="21F488FF" w14:textId="77777777" w:rsidR="001F1E97" w:rsidRPr="00E7304B" w:rsidRDefault="001F1E97" w:rsidP="00481668">
            <w:pPr>
              <w:spacing w:after="120" w:line="240" w:lineRule="auto"/>
              <w:jc w:val="both"/>
              <w:rPr>
                <w:sz w:val="22"/>
                <w:szCs w:val="22"/>
              </w:rPr>
            </w:pPr>
            <w:r w:rsidRPr="00E7304B">
              <w:rPr>
                <w:b/>
                <w:bCs/>
                <w:sz w:val="22"/>
                <w:szCs w:val="22"/>
              </w:rPr>
              <w:t xml:space="preserve">Indeksācijas piemērošana  - </w:t>
            </w:r>
            <w:r w:rsidRPr="00E7304B">
              <w:rPr>
                <w:sz w:val="22"/>
                <w:szCs w:val="22"/>
              </w:rPr>
              <w:t xml:space="preserve">indeksācija </w:t>
            </w:r>
            <w:r w:rsidRPr="00E7304B">
              <w:rPr>
                <w:color w:val="212529"/>
                <w:sz w:val="22"/>
                <w:szCs w:val="22"/>
                <w:shd w:val="clear" w:color="auto" w:fill="FFFFFF"/>
              </w:rPr>
              <w:t>piemērojama</w:t>
            </w:r>
            <w:r w:rsidRPr="00E7304B">
              <w:rPr>
                <w:color w:val="000000"/>
                <w:sz w:val="22"/>
                <w:szCs w:val="22"/>
              </w:rPr>
              <w:t>,</w:t>
            </w:r>
            <w:r w:rsidRPr="00E7304B">
              <w:rPr>
                <w:color w:val="212529"/>
                <w:sz w:val="22"/>
                <w:szCs w:val="22"/>
                <w:shd w:val="clear" w:color="auto" w:fill="FFFFFF"/>
              </w:rPr>
              <w:t xml:space="preserve"> ja attiecīgā resursa ceturkšņa indeksa svārstības pārsniedz 4% pret indeksācijas bāzes periodu.</w:t>
            </w:r>
          </w:p>
          <w:p w14:paraId="3D386166" w14:textId="77777777" w:rsidR="001F1E97" w:rsidRPr="00E7304B" w:rsidRDefault="001F1E97" w:rsidP="00481668">
            <w:pPr>
              <w:spacing w:after="120"/>
              <w:jc w:val="both"/>
              <w:rPr>
                <w:sz w:val="22"/>
                <w:szCs w:val="22"/>
              </w:rPr>
            </w:pPr>
            <w:r w:rsidRPr="00E7304B">
              <w:rPr>
                <w:sz w:val="22"/>
                <w:szCs w:val="22"/>
              </w:rPr>
              <w:t xml:space="preserve">Indeksācija tiek veikta vienu reizi ceturksnī, indeksējot  attiecīgajā ceturksnī pieņemto darbu izmaksas kopā izmantojot indeksu "Būvniecība – pavisam" (grupa - "Inženierbūves"). Atkarībā no būvniecības izmaksu indeksa izmaiņām tiek aprēķināta attiecīgā ceturkšņa korekcijas summa (palielinājums vai samazinājums). </w:t>
            </w:r>
          </w:p>
          <w:p w14:paraId="36FD59D3" w14:textId="77777777" w:rsidR="001F1E97" w:rsidRPr="00E7304B" w:rsidRDefault="008551F7" w:rsidP="00481668">
            <w:pPr>
              <w:spacing w:before="60" w:after="60"/>
              <w:ind w:left="730" w:hanging="709"/>
              <w:jc w:val="both"/>
              <w:rPr>
                <w:b/>
                <w:bCs/>
                <w:sz w:val="22"/>
                <w:szCs w:val="22"/>
                <w:vertAlign w:val="superscript"/>
              </w:rPr>
            </w:pPr>
            <m:oMathPara>
              <m:oMathParaPr>
                <m:jc m:val="center"/>
              </m:oMathParaPr>
              <m:oMath>
                <m:sSub>
                  <m:sSubPr>
                    <m:ctrlPr>
                      <w:rPr>
                        <w:rFonts w:ascii="Cambria Math" w:hAnsi="Cambria Math"/>
                        <w:bCs/>
                        <w:i/>
                        <w:sz w:val="22"/>
                        <w:szCs w:val="22"/>
                        <w:vertAlign w:val="subscript"/>
                      </w:rPr>
                    </m:ctrlPr>
                  </m:sSubPr>
                  <m:e>
                    <m:r>
                      <w:rPr>
                        <w:rFonts w:ascii="Cambria Math" w:hAnsi="Cambria Math"/>
                        <w:sz w:val="22"/>
                        <w:szCs w:val="22"/>
                        <w:vertAlign w:val="subscript"/>
                      </w:rPr>
                      <m:t>B</m:t>
                    </m:r>
                  </m:e>
                  <m:sub>
                    <m:r>
                      <w:rPr>
                        <w:rFonts w:ascii="Cambria Math" w:hAnsi="Cambria Math"/>
                        <w:sz w:val="22"/>
                        <w:szCs w:val="22"/>
                        <w:vertAlign w:val="subscript"/>
                      </w:rPr>
                      <m:t>kor</m:t>
                    </m:r>
                  </m:sub>
                </m:sSub>
                <m:r>
                  <w:rPr>
                    <w:rFonts w:ascii="Cambria Math" w:hAnsi="Cambria Math"/>
                    <w:sz w:val="22"/>
                    <w:szCs w:val="22"/>
                    <w:vertAlign w:val="subscript"/>
                  </w:rPr>
                  <m:t>=</m:t>
                </m:r>
                <m:sSub>
                  <m:sSubPr>
                    <m:ctrlPr>
                      <w:rPr>
                        <w:rFonts w:ascii="Cambria Math" w:hAnsi="Cambria Math"/>
                        <w:bCs/>
                        <w:i/>
                        <w:sz w:val="22"/>
                        <w:szCs w:val="22"/>
                        <w:vertAlign w:val="subscript"/>
                      </w:rPr>
                    </m:ctrlPr>
                  </m:sSubPr>
                  <m:e>
                    <m:r>
                      <w:rPr>
                        <w:rFonts w:ascii="Cambria Math" w:hAnsi="Cambria Math"/>
                        <w:sz w:val="22"/>
                        <w:szCs w:val="22"/>
                        <w:vertAlign w:val="subscript"/>
                      </w:rPr>
                      <m:t>B</m:t>
                    </m:r>
                  </m:e>
                  <m:sub>
                    <m:r>
                      <w:rPr>
                        <w:rFonts w:ascii="Cambria Math" w:hAnsi="Cambria Math"/>
                        <w:sz w:val="22"/>
                        <w:szCs w:val="22"/>
                        <w:vertAlign w:val="subscript"/>
                      </w:rPr>
                      <m:t>n</m:t>
                    </m:r>
                  </m:sub>
                </m:sSub>
                <m:r>
                  <w:rPr>
                    <w:rFonts w:ascii="Cambria Math" w:hAnsi="Cambria Math"/>
                    <w:sz w:val="22"/>
                    <w:szCs w:val="22"/>
                    <w:vertAlign w:val="subscript"/>
                  </w:rPr>
                  <m:t>×</m:t>
                </m:r>
                <m:d>
                  <m:dPr>
                    <m:ctrlPr>
                      <w:rPr>
                        <w:rFonts w:ascii="Cambria Math" w:hAnsi="Cambria Math"/>
                        <w:i/>
                        <w:sz w:val="22"/>
                        <w:szCs w:val="22"/>
                        <w:vertAlign w:val="subscript"/>
                      </w:rPr>
                    </m:ctrlPr>
                  </m:dPr>
                  <m:e>
                    <m:f>
                      <m:fPr>
                        <m:ctrlPr>
                          <w:rPr>
                            <w:rFonts w:ascii="Cambria Math" w:hAnsi="Cambria Math"/>
                            <w:bCs/>
                            <w:sz w:val="22"/>
                            <w:szCs w:val="22"/>
                            <w:vertAlign w:val="subscript"/>
                          </w:rPr>
                        </m:ctrlPr>
                      </m:fPr>
                      <m:num>
                        <m:sSub>
                          <m:sSubPr>
                            <m:ctrlPr>
                              <w:rPr>
                                <w:rFonts w:ascii="Cambria Math" w:hAnsi="Cambria Math"/>
                                <w:bCs/>
                                <w:sz w:val="22"/>
                                <w:szCs w:val="22"/>
                                <w:vertAlign w:val="subscript"/>
                              </w:rPr>
                            </m:ctrlPr>
                          </m:sSubPr>
                          <m:e>
                            <m:r>
                              <w:rPr>
                                <w:rFonts w:ascii="Cambria Math" w:hAnsi="Cambria Math"/>
                                <w:sz w:val="22"/>
                                <w:szCs w:val="22"/>
                                <w:vertAlign w:val="subscript"/>
                              </w:rPr>
                              <m:t>I</m:t>
                            </m:r>
                          </m:e>
                          <m:sub>
                            <m:r>
                              <w:rPr>
                                <w:rFonts w:ascii="Cambria Math" w:hAnsi="Cambria Math"/>
                                <w:sz w:val="22"/>
                                <w:szCs w:val="22"/>
                                <w:vertAlign w:val="subscript"/>
                              </w:rPr>
                              <m:t>Bn</m:t>
                            </m:r>
                          </m:sub>
                        </m:sSub>
                        <m:r>
                          <m:rPr>
                            <m:sty m:val="p"/>
                          </m:rPr>
                          <w:rPr>
                            <w:rFonts w:ascii="Cambria Math" w:hAnsi="Cambria Math"/>
                            <w:sz w:val="22"/>
                            <w:szCs w:val="22"/>
                            <w:vertAlign w:val="subscript"/>
                          </w:rPr>
                          <m:t>-</m:t>
                        </m:r>
                        <m:sSub>
                          <m:sSubPr>
                            <m:ctrlPr>
                              <w:rPr>
                                <w:rFonts w:ascii="Cambria Math" w:hAnsi="Cambria Math"/>
                                <w:bCs/>
                                <w:sz w:val="22"/>
                                <w:szCs w:val="22"/>
                                <w:vertAlign w:val="subscript"/>
                              </w:rPr>
                            </m:ctrlPr>
                          </m:sSubPr>
                          <m:e>
                            <m:r>
                              <w:rPr>
                                <w:rFonts w:ascii="Cambria Math" w:hAnsi="Cambria Math"/>
                                <w:sz w:val="22"/>
                                <w:szCs w:val="22"/>
                                <w:vertAlign w:val="subscript"/>
                              </w:rPr>
                              <m:t>I</m:t>
                            </m:r>
                          </m:e>
                          <m:sub>
                            <m:r>
                              <w:rPr>
                                <w:rFonts w:ascii="Cambria Math" w:hAnsi="Cambria Math"/>
                                <w:sz w:val="22"/>
                                <w:szCs w:val="22"/>
                                <w:vertAlign w:val="subscript"/>
                              </w:rPr>
                              <m:t>B0</m:t>
                            </m:r>
                          </m:sub>
                        </m:sSub>
                        <m:r>
                          <m:rPr>
                            <m:sty m:val="p"/>
                          </m:rPr>
                          <w:rPr>
                            <w:rFonts w:ascii="Cambria Math" w:hAnsi="Cambria Math"/>
                            <w:sz w:val="22"/>
                            <w:szCs w:val="22"/>
                            <w:vertAlign w:val="subscript"/>
                          </w:rPr>
                          <m:t xml:space="preserve"> </m:t>
                        </m:r>
                      </m:num>
                      <m:den>
                        <m:sSub>
                          <m:sSubPr>
                            <m:ctrlPr>
                              <w:rPr>
                                <w:rFonts w:ascii="Cambria Math" w:hAnsi="Cambria Math"/>
                                <w:bCs/>
                                <w:sz w:val="22"/>
                                <w:szCs w:val="22"/>
                                <w:vertAlign w:val="subscript"/>
                              </w:rPr>
                            </m:ctrlPr>
                          </m:sSubPr>
                          <m:e>
                            <m:r>
                              <w:rPr>
                                <w:rFonts w:ascii="Cambria Math" w:hAnsi="Cambria Math"/>
                                <w:sz w:val="22"/>
                                <w:szCs w:val="22"/>
                                <w:vertAlign w:val="subscript"/>
                              </w:rPr>
                              <m:t>I</m:t>
                            </m:r>
                          </m:e>
                          <m:sub>
                            <m:r>
                              <w:rPr>
                                <w:rFonts w:ascii="Cambria Math" w:hAnsi="Cambria Math"/>
                                <w:sz w:val="22"/>
                                <w:szCs w:val="22"/>
                                <w:vertAlign w:val="subscript"/>
                              </w:rPr>
                              <m:t>B0</m:t>
                            </m:r>
                          </m:sub>
                        </m:sSub>
                      </m:den>
                    </m:f>
                    <m:r>
                      <w:rPr>
                        <w:rFonts w:ascii="Cambria Math" w:hAnsi="Cambria Math"/>
                        <w:sz w:val="22"/>
                        <w:szCs w:val="22"/>
                        <w:vertAlign w:val="subscript"/>
                      </w:rPr>
                      <m:t>±4%</m:t>
                    </m:r>
                  </m:e>
                </m:d>
              </m:oMath>
            </m:oMathPara>
          </w:p>
          <w:p w14:paraId="306BD057" w14:textId="77777777" w:rsidR="001F1E97" w:rsidRPr="00E7304B" w:rsidRDefault="001F1E97" w:rsidP="00481668">
            <w:pPr>
              <w:spacing w:before="60" w:after="60"/>
              <w:ind w:left="730" w:hanging="709"/>
              <w:jc w:val="both"/>
              <w:rPr>
                <w:sz w:val="22"/>
                <w:szCs w:val="22"/>
              </w:rPr>
            </w:pPr>
            <w:proofErr w:type="spellStart"/>
            <w:r w:rsidRPr="00E7304B">
              <w:rPr>
                <w:sz w:val="22"/>
                <w:szCs w:val="22"/>
              </w:rPr>
              <w:t>B</w:t>
            </w:r>
            <w:r w:rsidRPr="00E7304B">
              <w:rPr>
                <w:b/>
                <w:bCs/>
                <w:sz w:val="22"/>
                <w:szCs w:val="22"/>
                <w:vertAlign w:val="subscript"/>
              </w:rPr>
              <w:t>kor</w:t>
            </w:r>
            <w:proofErr w:type="spellEnd"/>
            <w:r w:rsidRPr="00E7304B">
              <w:rPr>
                <w:sz w:val="22"/>
                <w:szCs w:val="22"/>
              </w:rPr>
              <w:t xml:space="preserve"> – ceturksnī pieņemto darbu, iekārtu un materiālu korekcijas summa;</w:t>
            </w:r>
          </w:p>
          <w:p w14:paraId="33246788" w14:textId="77777777" w:rsidR="001F1E97" w:rsidRPr="00E7304B" w:rsidRDefault="001F1E97" w:rsidP="00481668">
            <w:pPr>
              <w:spacing w:before="60" w:after="60"/>
              <w:ind w:left="439" w:hanging="418"/>
              <w:jc w:val="both"/>
              <w:rPr>
                <w:sz w:val="22"/>
                <w:szCs w:val="22"/>
              </w:rPr>
            </w:pPr>
            <w:proofErr w:type="spellStart"/>
            <w:r w:rsidRPr="00E7304B">
              <w:rPr>
                <w:sz w:val="22"/>
                <w:szCs w:val="22"/>
              </w:rPr>
              <w:t>B</w:t>
            </w:r>
            <w:r w:rsidRPr="00E7304B">
              <w:rPr>
                <w:sz w:val="22"/>
                <w:szCs w:val="22"/>
                <w:vertAlign w:val="subscript"/>
              </w:rPr>
              <w:t>n</w:t>
            </w:r>
            <w:proofErr w:type="spellEnd"/>
            <w:r w:rsidRPr="00E7304B">
              <w:rPr>
                <w:sz w:val="22"/>
                <w:szCs w:val="22"/>
              </w:rPr>
              <w:t xml:space="preserve"> – ceturksnī pieņemto darbu izmaksas, tai skaitā, iekārtas un materiāli, kas aprēķinātas sasummējot ikmēneša rēķinos norādītās </w:t>
            </w:r>
            <w:r>
              <w:rPr>
                <w:sz w:val="22"/>
                <w:szCs w:val="22"/>
              </w:rPr>
              <w:t xml:space="preserve">būvdarbu tiešo izmaksu summas </w:t>
            </w:r>
            <w:r w:rsidRPr="00E7304B">
              <w:rPr>
                <w:sz w:val="22"/>
                <w:szCs w:val="22"/>
              </w:rPr>
              <w:t>bez  PVN attiecīgajā ceturksnī (neattiecas uz neparedzēto darbu izpildi);</w:t>
            </w:r>
          </w:p>
          <w:p w14:paraId="16A4A2A7" w14:textId="77777777" w:rsidR="001F1E97" w:rsidRPr="00E7304B" w:rsidRDefault="001F1E97" w:rsidP="00481668">
            <w:pPr>
              <w:spacing w:before="60" w:after="60"/>
              <w:ind w:left="297" w:hanging="276"/>
              <w:jc w:val="both"/>
              <w:rPr>
                <w:sz w:val="22"/>
                <w:szCs w:val="22"/>
              </w:rPr>
            </w:pPr>
            <w:r w:rsidRPr="00E7304B">
              <w:rPr>
                <w:sz w:val="22"/>
                <w:szCs w:val="22"/>
              </w:rPr>
              <w:t>I</w:t>
            </w:r>
            <w:r w:rsidRPr="00E7304B">
              <w:rPr>
                <w:sz w:val="22"/>
                <w:szCs w:val="22"/>
                <w:vertAlign w:val="subscript"/>
              </w:rPr>
              <w:t>B</w:t>
            </w:r>
            <w:r w:rsidRPr="00E7304B">
              <w:rPr>
                <w:sz w:val="22"/>
                <w:szCs w:val="22"/>
              </w:rPr>
              <w:t xml:space="preserve"> – būvniecības izmaksu indekss  attiecīgajā periodā   (0 –  bāzes periods; n – korekcijas periods)</w:t>
            </w:r>
          </w:p>
          <w:p w14:paraId="450096C4" w14:textId="77777777" w:rsidR="001F1E97" w:rsidRPr="00E7304B" w:rsidRDefault="001F1E97" w:rsidP="00481668">
            <w:pPr>
              <w:spacing w:after="120"/>
              <w:jc w:val="both"/>
              <w:rPr>
                <w:sz w:val="22"/>
                <w:szCs w:val="22"/>
              </w:rPr>
            </w:pPr>
            <w:r w:rsidRPr="00E7304B">
              <w:rPr>
                <w:sz w:val="22"/>
                <w:szCs w:val="22"/>
              </w:rPr>
              <w:t>Ja attiecīgā ceturkšņa būvniecības izmaksu indeks</w:t>
            </w:r>
            <w:r>
              <w:rPr>
                <w:sz w:val="22"/>
                <w:szCs w:val="22"/>
              </w:rPr>
              <w:t>a izmaiņas</w:t>
            </w:r>
            <w:r w:rsidRPr="00E7304B">
              <w:rPr>
                <w:sz w:val="22"/>
                <w:szCs w:val="22"/>
              </w:rPr>
              <w:t xml:space="preserve"> salīdzinot ar bāzes periodu nepārsniedz 4%, attiecīgajam ceturksnim korekcijas summa (palielinājums vai samazinājums) netiek aprēķināta. </w:t>
            </w:r>
          </w:p>
          <w:p w14:paraId="42A4BC96" w14:textId="77777777" w:rsidR="001F1E97" w:rsidRPr="00E7304B" w:rsidRDefault="001F1E97" w:rsidP="00481668">
            <w:pPr>
              <w:spacing w:after="120"/>
              <w:jc w:val="both"/>
              <w:rPr>
                <w:sz w:val="22"/>
                <w:szCs w:val="22"/>
              </w:rPr>
            </w:pPr>
            <w:r w:rsidRPr="00E7304B">
              <w:rPr>
                <w:sz w:val="22"/>
                <w:szCs w:val="22"/>
              </w:rPr>
              <w:t xml:space="preserve">Korekcijas summa tiek aprēķināta tikai par attiecīgā ceturkšņa būvniecības izmaksu indeksa </w:t>
            </w:r>
            <w:r>
              <w:rPr>
                <w:sz w:val="22"/>
                <w:szCs w:val="22"/>
              </w:rPr>
              <w:t>izmaiņu (</w:t>
            </w:r>
            <w:r w:rsidRPr="00E7304B">
              <w:rPr>
                <w:sz w:val="22"/>
                <w:szCs w:val="22"/>
              </w:rPr>
              <w:t>pieauguma</w:t>
            </w:r>
            <w:r>
              <w:rPr>
                <w:sz w:val="22"/>
                <w:szCs w:val="22"/>
              </w:rPr>
              <w:t xml:space="preserve"> vai samazinājuma) </w:t>
            </w:r>
            <w:r w:rsidRPr="00E7304B">
              <w:rPr>
                <w:sz w:val="22"/>
                <w:szCs w:val="22"/>
              </w:rPr>
              <w:t>daļu, kas pārsniedz 4%.</w:t>
            </w:r>
          </w:p>
          <w:p w14:paraId="44E3A919" w14:textId="77777777" w:rsidR="001F1E97" w:rsidRPr="00E7304B" w:rsidRDefault="001F1E97" w:rsidP="00481668">
            <w:pPr>
              <w:spacing w:after="120"/>
              <w:jc w:val="both"/>
              <w:rPr>
                <w:sz w:val="22"/>
                <w:szCs w:val="22"/>
              </w:rPr>
            </w:pPr>
            <w:r w:rsidRPr="00E7304B">
              <w:rPr>
                <w:sz w:val="22"/>
                <w:szCs w:val="22"/>
              </w:rPr>
              <w:t>Korekcijas summas aprēķins nav attiecināms uz neparedzēto darbu izpildi.</w:t>
            </w:r>
          </w:p>
          <w:p w14:paraId="6CDAFF6B" w14:textId="77777777" w:rsidR="001F1E97" w:rsidRPr="00E7304B" w:rsidRDefault="001F1E97" w:rsidP="00481668">
            <w:pPr>
              <w:spacing w:after="120" w:line="240" w:lineRule="auto"/>
              <w:jc w:val="both"/>
              <w:rPr>
                <w:sz w:val="22"/>
                <w:szCs w:val="22"/>
              </w:rPr>
            </w:pPr>
            <w:r w:rsidRPr="00E7304B">
              <w:rPr>
                <w:sz w:val="22"/>
                <w:szCs w:val="22"/>
              </w:rPr>
              <w:t>Avansa maksājums netiek indeksēts. Līgumsodu aprēķināšanai tiks izmantota Līgumā norādītā Līguma cena, nepiemērojot  indeksāciju</w:t>
            </w:r>
          </w:p>
        </w:tc>
      </w:tr>
      <w:tr w:rsidR="001F1E97" w:rsidRPr="00E7304B" w14:paraId="28549502" w14:textId="77777777" w:rsidTr="00481668">
        <w:trPr>
          <w:trHeight w:val="1813"/>
        </w:trPr>
        <w:tc>
          <w:tcPr>
            <w:tcW w:w="9502" w:type="dxa"/>
          </w:tcPr>
          <w:p w14:paraId="27D16D23" w14:textId="77777777" w:rsidR="001F1E97" w:rsidRPr="00E7304B" w:rsidRDefault="001F1E97" w:rsidP="00481668">
            <w:pPr>
              <w:spacing w:after="0"/>
              <w:jc w:val="both"/>
              <w:rPr>
                <w:sz w:val="22"/>
                <w:szCs w:val="22"/>
              </w:rPr>
            </w:pPr>
            <w:r w:rsidRPr="00E7304B">
              <w:rPr>
                <w:b/>
                <w:bCs/>
                <w:sz w:val="22"/>
                <w:szCs w:val="22"/>
              </w:rPr>
              <w:t>Apmaksas kārtība</w:t>
            </w:r>
            <w:r w:rsidRPr="00E7304B">
              <w:rPr>
                <w:sz w:val="22"/>
                <w:szCs w:val="22"/>
              </w:rPr>
              <w:t xml:space="preserve"> - summas palielinājumu izmaksā (vai samazinājumu ietur) </w:t>
            </w:r>
            <w:r>
              <w:rPr>
                <w:sz w:val="22"/>
                <w:szCs w:val="22"/>
              </w:rPr>
              <w:t xml:space="preserve">katra nākamā gada sākumā  </w:t>
            </w:r>
            <w:r w:rsidRPr="00E7304B">
              <w:rPr>
                <w:sz w:val="22"/>
                <w:szCs w:val="22"/>
              </w:rPr>
              <w:t>summējot ceturkšņa korekcijas</w:t>
            </w:r>
            <w:r>
              <w:rPr>
                <w:sz w:val="22"/>
                <w:szCs w:val="22"/>
              </w:rPr>
              <w:t>. Galīgais norēķins tiek veikts p</w:t>
            </w:r>
            <w:r w:rsidRPr="00E7304B">
              <w:rPr>
                <w:sz w:val="22"/>
                <w:szCs w:val="22"/>
              </w:rPr>
              <w:t xml:space="preserve">ēc līguma darbu pabeigšanas un pēdējā rēķina iesniegšanas summējot </w:t>
            </w:r>
            <w:r>
              <w:rPr>
                <w:sz w:val="22"/>
                <w:szCs w:val="22"/>
              </w:rPr>
              <w:t xml:space="preserve">attiecīgās </w:t>
            </w:r>
            <w:r w:rsidRPr="00E7304B">
              <w:rPr>
                <w:sz w:val="22"/>
                <w:szCs w:val="22"/>
              </w:rPr>
              <w:t xml:space="preserve">ceturkšņa korekcijas. Attiecībā uz pēdējo iesniegto rēķinu tiek izmantoti pēdējie pieejamie Centrālās Statistikas Pārvaldes (CSP) publicētie būvniecības izmaksu indeksi. </w:t>
            </w:r>
          </w:p>
        </w:tc>
      </w:tr>
    </w:tbl>
    <w:p w14:paraId="4FE53788" w14:textId="77777777" w:rsidR="001F1E97" w:rsidRPr="00E7304B" w:rsidRDefault="001F1E97" w:rsidP="001F1E97">
      <w:pPr>
        <w:pStyle w:val="ListParagraph"/>
        <w:rPr>
          <w:rFonts w:ascii="Times New Roman" w:hAnsi="Times New Roman" w:cs="Times New Roman"/>
          <w:b/>
          <w:u w:val="single"/>
        </w:rPr>
      </w:pPr>
    </w:p>
    <w:p w14:paraId="54453477" w14:textId="4E11C05E" w:rsidR="000F1A5C" w:rsidRPr="00E7304B" w:rsidRDefault="008551F7" w:rsidP="000F1A5C">
      <w:pPr>
        <w:spacing w:after="0" w:line="240" w:lineRule="auto"/>
        <w:jc w:val="center"/>
        <w:rPr>
          <w:rFonts w:ascii="Times New Roman" w:hAnsi="Times New Roman" w:cs="Times New Roman"/>
          <w:b/>
          <w:bCs/>
          <w:u w:val="single"/>
        </w:rPr>
      </w:pPr>
      <w:r w:rsidRPr="008551F7">
        <w:rPr>
          <w:rFonts w:ascii="Times New Roman" w:hAnsi="Times New Roman" w:cs="Times New Roman"/>
          <w:b/>
          <w:bCs/>
          <w:caps/>
        </w:rPr>
        <w:lastRenderedPageBreak/>
        <w:t>INDEXING ORDER</w:t>
      </w:r>
    </w:p>
    <w:p w14:paraId="7DFAAC9E" w14:textId="77777777" w:rsidR="000F1A5C" w:rsidRPr="00E7304B" w:rsidRDefault="000F1A5C" w:rsidP="000F1A5C">
      <w:pPr>
        <w:pStyle w:val="ListParagraph"/>
        <w:rPr>
          <w:rFonts w:ascii="Times New Roman" w:hAnsi="Times New Roman" w:cs="Times New Roman"/>
          <w:b/>
          <w:bCs/>
          <w:u w:val="single"/>
        </w:rPr>
      </w:pPr>
    </w:p>
    <w:tbl>
      <w:tblPr>
        <w:tblStyle w:val="TableGrid"/>
        <w:tblW w:w="9502"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02"/>
      </w:tblGrid>
      <w:tr w:rsidR="000F1A5C" w:rsidRPr="00E7304B" w14:paraId="365F5CCC" w14:textId="77777777" w:rsidTr="00481668">
        <w:tc>
          <w:tcPr>
            <w:tcW w:w="9502" w:type="dxa"/>
          </w:tcPr>
          <w:p w14:paraId="14BD1F1D" w14:textId="73C8BB60" w:rsidR="000F1A5C" w:rsidRPr="00E7304B" w:rsidRDefault="008551F7" w:rsidP="00481668">
            <w:pPr>
              <w:pStyle w:val="ListParagraph"/>
              <w:ind w:left="0"/>
              <w:rPr>
                <w:b/>
                <w:bCs/>
                <w:sz w:val="22"/>
                <w:szCs w:val="22"/>
                <w:u w:val="single"/>
              </w:rPr>
            </w:pPr>
            <w:proofErr w:type="spellStart"/>
            <w:r w:rsidRPr="008551F7">
              <w:rPr>
                <w:b/>
                <w:bCs/>
                <w:sz w:val="22"/>
                <w:szCs w:val="22"/>
              </w:rPr>
              <w:t>Index</w:t>
            </w:r>
            <w:proofErr w:type="spellEnd"/>
            <w:r w:rsidRPr="008551F7">
              <w:rPr>
                <w:b/>
                <w:bCs/>
                <w:sz w:val="22"/>
                <w:szCs w:val="22"/>
              </w:rPr>
              <w:t xml:space="preserve"> </w:t>
            </w:r>
            <w:proofErr w:type="spellStart"/>
            <w:r w:rsidRPr="008551F7">
              <w:rPr>
                <w:b/>
                <w:bCs/>
                <w:sz w:val="22"/>
                <w:szCs w:val="22"/>
              </w:rPr>
              <w:t>type</w:t>
            </w:r>
            <w:proofErr w:type="spellEnd"/>
            <w:r w:rsidRPr="008551F7">
              <w:rPr>
                <w:b/>
                <w:bCs/>
                <w:sz w:val="22"/>
                <w:szCs w:val="22"/>
              </w:rPr>
              <w:t xml:space="preserve"> </w:t>
            </w:r>
            <w:r w:rsidR="000F1A5C" w:rsidRPr="00E7304B">
              <w:rPr>
                <w:b/>
                <w:bCs/>
                <w:sz w:val="22"/>
                <w:szCs w:val="22"/>
              </w:rPr>
              <w:t>-</w:t>
            </w:r>
            <w:r w:rsidRPr="008551F7">
              <w:rPr>
                <w:sz w:val="22"/>
                <w:szCs w:val="22"/>
              </w:rPr>
              <w:t xml:space="preserve"> RCB040c. Construction </w:t>
            </w:r>
            <w:proofErr w:type="spellStart"/>
            <w:r w:rsidRPr="008551F7">
              <w:rPr>
                <w:sz w:val="22"/>
                <w:szCs w:val="22"/>
              </w:rPr>
              <w:t>cost</w:t>
            </w:r>
            <w:proofErr w:type="spellEnd"/>
            <w:r w:rsidRPr="008551F7">
              <w:rPr>
                <w:sz w:val="22"/>
                <w:szCs w:val="22"/>
              </w:rPr>
              <w:t xml:space="preserve"> </w:t>
            </w:r>
            <w:proofErr w:type="spellStart"/>
            <w:r w:rsidRPr="008551F7">
              <w:rPr>
                <w:sz w:val="22"/>
                <w:szCs w:val="22"/>
              </w:rPr>
              <w:t>indices</w:t>
            </w:r>
            <w:proofErr w:type="spellEnd"/>
            <w:r w:rsidRPr="008551F7">
              <w:rPr>
                <w:sz w:val="22"/>
                <w:szCs w:val="22"/>
              </w:rPr>
              <w:t xml:space="preserve"> </w:t>
            </w:r>
            <w:proofErr w:type="spellStart"/>
            <w:r w:rsidRPr="008551F7">
              <w:rPr>
                <w:sz w:val="22"/>
                <w:szCs w:val="22"/>
              </w:rPr>
              <w:t>by</w:t>
            </w:r>
            <w:proofErr w:type="spellEnd"/>
            <w:r w:rsidRPr="008551F7">
              <w:rPr>
                <w:sz w:val="22"/>
                <w:szCs w:val="22"/>
              </w:rPr>
              <w:t xml:space="preserve"> </w:t>
            </w:r>
            <w:proofErr w:type="spellStart"/>
            <w:r w:rsidRPr="008551F7">
              <w:rPr>
                <w:sz w:val="22"/>
                <w:szCs w:val="22"/>
              </w:rPr>
              <w:t>object</w:t>
            </w:r>
            <w:proofErr w:type="spellEnd"/>
            <w:r w:rsidRPr="008551F7">
              <w:rPr>
                <w:sz w:val="22"/>
                <w:szCs w:val="22"/>
              </w:rPr>
              <w:t xml:space="preserve"> </w:t>
            </w:r>
            <w:proofErr w:type="spellStart"/>
            <w:r w:rsidRPr="008551F7">
              <w:rPr>
                <w:sz w:val="22"/>
                <w:szCs w:val="22"/>
              </w:rPr>
              <w:t>groups</w:t>
            </w:r>
            <w:proofErr w:type="spellEnd"/>
            <w:r w:rsidRPr="008551F7">
              <w:rPr>
                <w:sz w:val="22"/>
                <w:szCs w:val="22"/>
              </w:rPr>
              <w:t xml:space="preserve"> </w:t>
            </w:r>
            <w:proofErr w:type="spellStart"/>
            <w:r w:rsidRPr="008551F7">
              <w:rPr>
                <w:sz w:val="22"/>
                <w:szCs w:val="22"/>
              </w:rPr>
              <w:t>and</w:t>
            </w:r>
            <w:proofErr w:type="spellEnd"/>
            <w:r w:rsidRPr="008551F7">
              <w:rPr>
                <w:sz w:val="22"/>
                <w:szCs w:val="22"/>
              </w:rPr>
              <w:t xml:space="preserve"> </w:t>
            </w:r>
            <w:proofErr w:type="spellStart"/>
            <w:r w:rsidRPr="008551F7">
              <w:rPr>
                <w:sz w:val="22"/>
                <w:szCs w:val="22"/>
              </w:rPr>
              <w:t>resource</w:t>
            </w:r>
            <w:proofErr w:type="spellEnd"/>
            <w:r w:rsidRPr="008551F7">
              <w:rPr>
                <w:sz w:val="22"/>
                <w:szCs w:val="22"/>
              </w:rPr>
              <w:t xml:space="preserve"> </w:t>
            </w:r>
            <w:proofErr w:type="spellStart"/>
            <w:r w:rsidRPr="008551F7">
              <w:rPr>
                <w:sz w:val="22"/>
                <w:szCs w:val="22"/>
              </w:rPr>
              <w:t>types</w:t>
            </w:r>
            <w:proofErr w:type="spellEnd"/>
            <w:r w:rsidRPr="008551F7">
              <w:rPr>
                <w:sz w:val="22"/>
                <w:szCs w:val="22"/>
              </w:rPr>
              <w:t xml:space="preserve"> (2021=100).</w:t>
            </w:r>
          </w:p>
        </w:tc>
      </w:tr>
      <w:tr w:rsidR="000F1A5C" w:rsidRPr="00E7304B" w14:paraId="28D7E91D" w14:textId="77777777" w:rsidTr="00481668">
        <w:tc>
          <w:tcPr>
            <w:tcW w:w="9502" w:type="dxa"/>
          </w:tcPr>
          <w:p w14:paraId="0377DFF8" w14:textId="451E39FD" w:rsidR="000F1A5C" w:rsidRPr="00E7304B" w:rsidRDefault="008551F7" w:rsidP="00481668">
            <w:pPr>
              <w:spacing w:before="120" w:after="120" w:line="240" w:lineRule="auto"/>
              <w:rPr>
                <w:sz w:val="22"/>
                <w:szCs w:val="22"/>
              </w:rPr>
            </w:pPr>
            <w:proofErr w:type="spellStart"/>
            <w:r w:rsidRPr="001F1E97">
              <w:rPr>
                <w:b/>
                <w:bCs/>
                <w:sz w:val="22"/>
                <w:szCs w:val="22"/>
              </w:rPr>
              <w:t>Data</w:t>
            </w:r>
            <w:proofErr w:type="spellEnd"/>
            <w:r w:rsidRPr="001F1E97">
              <w:rPr>
                <w:b/>
                <w:bCs/>
                <w:sz w:val="22"/>
                <w:szCs w:val="22"/>
              </w:rPr>
              <w:t xml:space="preserve"> </w:t>
            </w:r>
            <w:proofErr w:type="spellStart"/>
            <w:r w:rsidRPr="001F1E97">
              <w:rPr>
                <w:b/>
                <w:bCs/>
                <w:sz w:val="22"/>
                <w:szCs w:val="22"/>
              </w:rPr>
              <w:t>source</w:t>
            </w:r>
            <w:proofErr w:type="spellEnd"/>
            <w:r w:rsidRPr="001F1E97">
              <w:rPr>
                <w:b/>
                <w:bCs/>
                <w:sz w:val="22"/>
                <w:szCs w:val="22"/>
              </w:rPr>
              <w:t xml:space="preserve"> </w:t>
            </w:r>
            <w:r w:rsidR="000F1A5C" w:rsidRPr="00E7304B">
              <w:rPr>
                <w:b/>
                <w:bCs/>
                <w:sz w:val="22"/>
                <w:szCs w:val="22"/>
              </w:rPr>
              <w:t xml:space="preserve">- </w:t>
            </w:r>
            <w:hyperlink r:id="rId11" w:history="1">
              <w:r w:rsidR="000F1A5C" w:rsidRPr="00E7304B">
                <w:rPr>
                  <w:rStyle w:val="Hyperlink"/>
                  <w:sz w:val="22"/>
                  <w:szCs w:val="22"/>
                </w:rPr>
                <w:t>https://data.stat.gov.lv/pxweb/lv/OSP_PUB/START__VEK__RC__RCB/RCB040c/</w:t>
              </w:r>
            </w:hyperlink>
          </w:p>
        </w:tc>
      </w:tr>
      <w:tr w:rsidR="000F1A5C" w:rsidRPr="00E7304B" w14:paraId="4A68D10B" w14:textId="77777777" w:rsidTr="00481668">
        <w:tc>
          <w:tcPr>
            <w:tcW w:w="9502" w:type="dxa"/>
          </w:tcPr>
          <w:p w14:paraId="7E16C3F7" w14:textId="6A8A6ABC" w:rsidR="000F1A5C" w:rsidRPr="001F1E97" w:rsidRDefault="000F1A5C" w:rsidP="00481668">
            <w:pPr>
              <w:jc w:val="both"/>
              <w:rPr>
                <w:b/>
                <w:bCs/>
              </w:rPr>
            </w:pPr>
            <w:proofErr w:type="spellStart"/>
            <w:r w:rsidRPr="001F1E97">
              <w:rPr>
                <w:b/>
                <w:bCs/>
              </w:rPr>
              <w:t>Base</w:t>
            </w:r>
            <w:proofErr w:type="spellEnd"/>
            <w:r w:rsidRPr="001F1E97">
              <w:rPr>
                <w:b/>
                <w:bCs/>
              </w:rPr>
              <w:t xml:space="preserve"> period</w:t>
            </w:r>
            <w:r w:rsidRPr="001F1E97">
              <w:t xml:space="preserve"> - </w:t>
            </w:r>
            <w:proofErr w:type="spellStart"/>
            <w:r w:rsidRPr="001F1E97">
              <w:t>the</w:t>
            </w:r>
            <w:proofErr w:type="spellEnd"/>
            <w:r w:rsidRPr="001F1E97">
              <w:t xml:space="preserve"> </w:t>
            </w:r>
            <w:r w:rsidRPr="00E7304B">
              <w:rPr>
                <w:sz w:val="22"/>
                <w:szCs w:val="22"/>
              </w:rPr>
              <w:t xml:space="preserve">- </w:t>
            </w:r>
            <w:proofErr w:type="spellStart"/>
            <w:r>
              <w:rPr>
                <w:sz w:val="22"/>
                <w:szCs w:val="22"/>
              </w:rPr>
              <w:t>quarter</w:t>
            </w:r>
            <w:proofErr w:type="spellEnd"/>
            <w:r w:rsidRPr="00E7304B">
              <w:rPr>
                <w:rStyle w:val="FootnoteReference"/>
                <w:sz w:val="22"/>
                <w:szCs w:val="22"/>
              </w:rPr>
              <w:footnoteReference w:id="3"/>
            </w:r>
            <w:r>
              <w:rPr>
                <w:sz w:val="22"/>
                <w:szCs w:val="22"/>
              </w:rPr>
              <w:t xml:space="preserve"> </w:t>
            </w:r>
            <w:proofErr w:type="spellStart"/>
            <w:r w:rsidRPr="001F1E97">
              <w:t>in</w:t>
            </w:r>
            <w:proofErr w:type="spellEnd"/>
            <w:r w:rsidRPr="001F1E97">
              <w:t xml:space="preserve"> </w:t>
            </w:r>
            <w:proofErr w:type="spellStart"/>
            <w:r w:rsidRPr="001F1E97">
              <w:t>which</w:t>
            </w:r>
            <w:proofErr w:type="spellEnd"/>
            <w:r w:rsidRPr="001F1E97">
              <w:t xml:space="preserve"> </w:t>
            </w:r>
            <w:proofErr w:type="spellStart"/>
            <w:r w:rsidRPr="001F1E97">
              <w:t>the</w:t>
            </w:r>
            <w:proofErr w:type="spellEnd"/>
            <w:r w:rsidRPr="001F1E97">
              <w:t xml:space="preserve"> </w:t>
            </w:r>
            <w:proofErr w:type="spellStart"/>
            <w:r w:rsidRPr="001F1E97">
              <w:t>final</w:t>
            </w:r>
            <w:proofErr w:type="spellEnd"/>
            <w:r w:rsidRPr="001F1E97">
              <w:t xml:space="preserve"> </w:t>
            </w:r>
            <w:proofErr w:type="spellStart"/>
            <w:r w:rsidRPr="001F1E97">
              <w:t>bids</w:t>
            </w:r>
            <w:proofErr w:type="spellEnd"/>
            <w:r w:rsidRPr="001F1E97">
              <w:t xml:space="preserve"> </w:t>
            </w:r>
            <w:proofErr w:type="spellStart"/>
            <w:r w:rsidRPr="001F1E97">
              <w:t>were</w:t>
            </w:r>
            <w:proofErr w:type="spellEnd"/>
            <w:r w:rsidRPr="001F1E97">
              <w:t xml:space="preserve"> </w:t>
            </w:r>
            <w:proofErr w:type="spellStart"/>
            <w:r w:rsidRPr="001F1E97">
              <w:t>submitted</w:t>
            </w:r>
            <w:proofErr w:type="spellEnd"/>
            <w:r w:rsidRPr="001F1E97">
              <w:t>.</w:t>
            </w:r>
          </w:p>
        </w:tc>
      </w:tr>
      <w:tr w:rsidR="000F1A5C" w:rsidRPr="00E7304B" w14:paraId="52D02BD4" w14:textId="77777777" w:rsidTr="00481668">
        <w:tc>
          <w:tcPr>
            <w:tcW w:w="9502" w:type="dxa"/>
          </w:tcPr>
          <w:p w14:paraId="322865A5" w14:textId="77777777" w:rsidR="000F1A5C" w:rsidRPr="00E7304B" w:rsidRDefault="000F1A5C" w:rsidP="00481668">
            <w:pPr>
              <w:spacing w:after="240"/>
              <w:rPr>
                <w:sz w:val="22"/>
                <w:szCs w:val="22"/>
              </w:rPr>
            </w:pPr>
            <w:proofErr w:type="spellStart"/>
            <w:r w:rsidRPr="001F1E97">
              <w:rPr>
                <w:b/>
                <w:bCs/>
                <w:sz w:val="22"/>
                <w:szCs w:val="22"/>
              </w:rPr>
              <w:t>Reporting</w:t>
            </w:r>
            <w:proofErr w:type="spellEnd"/>
            <w:r w:rsidRPr="001F1E97">
              <w:rPr>
                <w:b/>
                <w:bCs/>
                <w:sz w:val="22"/>
                <w:szCs w:val="22"/>
              </w:rPr>
              <w:t xml:space="preserve"> period</w:t>
            </w:r>
            <w:r w:rsidRPr="001F1E97">
              <w:rPr>
                <w:sz w:val="22"/>
                <w:szCs w:val="22"/>
              </w:rPr>
              <w:t xml:space="preserve"> - </w:t>
            </w:r>
            <w:proofErr w:type="spellStart"/>
            <w:r w:rsidRPr="001F1E97">
              <w:rPr>
                <w:sz w:val="22"/>
                <w:szCs w:val="22"/>
              </w:rPr>
              <w:t>the</w:t>
            </w:r>
            <w:proofErr w:type="spellEnd"/>
            <w:r w:rsidRPr="001F1E97">
              <w:rPr>
                <w:sz w:val="22"/>
                <w:szCs w:val="22"/>
              </w:rPr>
              <w:t xml:space="preserve"> </w:t>
            </w:r>
            <w:proofErr w:type="spellStart"/>
            <w:r w:rsidRPr="001F1E97">
              <w:rPr>
                <w:sz w:val="22"/>
                <w:szCs w:val="22"/>
              </w:rPr>
              <w:t>quarter</w:t>
            </w:r>
            <w:proofErr w:type="spellEnd"/>
            <w:r w:rsidRPr="001F1E97">
              <w:rPr>
                <w:sz w:val="22"/>
                <w:szCs w:val="22"/>
              </w:rPr>
              <w:t xml:space="preserve"> </w:t>
            </w:r>
            <w:proofErr w:type="spellStart"/>
            <w:r w:rsidRPr="001F1E97">
              <w:rPr>
                <w:sz w:val="22"/>
                <w:szCs w:val="22"/>
              </w:rPr>
              <w:t>for</w:t>
            </w:r>
            <w:proofErr w:type="spellEnd"/>
            <w:r w:rsidRPr="001F1E97">
              <w:rPr>
                <w:sz w:val="22"/>
                <w:szCs w:val="22"/>
              </w:rPr>
              <w:t xml:space="preserve"> </w:t>
            </w:r>
            <w:proofErr w:type="spellStart"/>
            <w:r w:rsidRPr="001F1E97">
              <w:rPr>
                <w:sz w:val="22"/>
                <w:szCs w:val="22"/>
              </w:rPr>
              <w:t>which</w:t>
            </w:r>
            <w:proofErr w:type="spellEnd"/>
            <w:r w:rsidRPr="001F1E97">
              <w:rPr>
                <w:sz w:val="22"/>
                <w:szCs w:val="22"/>
              </w:rPr>
              <w:t xml:space="preserve"> </w:t>
            </w:r>
            <w:proofErr w:type="spellStart"/>
            <w:r w:rsidRPr="001F1E97">
              <w:rPr>
                <w:sz w:val="22"/>
                <w:szCs w:val="22"/>
              </w:rPr>
              <w:t>the</w:t>
            </w:r>
            <w:proofErr w:type="spellEnd"/>
            <w:r w:rsidRPr="001F1E97">
              <w:rPr>
                <w:sz w:val="22"/>
                <w:szCs w:val="22"/>
              </w:rPr>
              <w:t xml:space="preserve"> </w:t>
            </w:r>
            <w:proofErr w:type="spellStart"/>
            <w:r w:rsidRPr="001F1E97">
              <w:rPr>
                <w:sz w:val="22"/>
                <w:szCs w:val="22"/>
              </w:rPr>
              <w:t>adjustment</w:t>
            </w:r>
            <w:proofErr w:type="spellEnd"/>
            <w:r w:rsidRPr="001F1E97">
              <w:rPr>
                <w:sz w:val="22"/>
                <w:szCs w:val="22"/>
              </w:rPr>
              <w:t xml:space="preserve"> </w:t>
            </w:r>
            <w:proofErr w:type="spellStart"/>
            <w:r w:rsidRPr="001F1E97">
              <w:rPr>
                <w:sz w:val="22"/>
                <w:szCs w:val="22"/>
              </w:rPr>
              <w:t>amount</w:t>
            </w:r>
            <w:proofErr w:type="spellEnd"/>
            <w:r w:rsidRPr="001F1E97">
              <w:rPr>
                <w:sz w:val="22"/>
                <w:szCs w:val="22"/>
              </w:rPr>
              <w:t xml:space="preserve"> </w:t>
            </w:r>
            <w:proofErr w:type="spellStart"/>
            <w:r w:rsidRPr="001F1E97">
              <w:rPr>
                <w:sz w:val="22"/>
                <w:szCs w:val="22"/>
              </w:rPr>
              <w:t>is</w:t>
            </w:r>
            <w:proofErr w:type="spellEnd"/>
            <w:r w:rsidRPr="001F1E97">
              <w:rPr>
                <w:sz w:val="22"/>
                <w:szCs w:val="22"/>
              </w:rPr>
              <w:t xml:space="preserve"> </w:t>
            </w:r>
            <w:proofErr w:type="spellStart"/>
            <w:r w:rsidRPr="001F1E97">
              <w:rPr>
                <w:sz w:val="22"/>
                <w:szCs w:val="22"/>
              </w:rPr>
              <w:t>calculated</w:t>
            </w:r>
            <w:proofErr w:type="spellEnd"/>
            <w:r w:rsidRPr="001F1E97">
              <w:rPr>
                <w:sz w:val="22"/>
                <w:szCs w:val="22"/>
              </w:rPr>
              <w:t>.</w:t>
            </w:r>
          </w:p>
        </w:tc>
      </w:tr>
      <w:tr w:rsidR="000F1A5C" w:rsidRPr="00E7304B" w14:paraId="65C27850" w14:textId="77777777" w:rsidTr="00481668">
        <w:tc>
          <w:tcPr>
            <w:tcW w:w="9502" w:type="dxa"/>
          </w:tcPr>
          <w:p w14:paraId="172E4965" w14:textId="77777777" w:rsidR="000F1A5C" w:rsidRPr="00E7304B" w:rsidRDefault="000F1A5C" w:rsidP="00481668">
            <w:pPr>
              <w:spacing w:after="120"/>
              <w:jc w:val="both"/>
              <w:rPr>
                <w:sz w:val="22"/>
                <w:szCs w:val="22"/>
              </w:rPr>
            </w:pPr>
            <w:proofErr w:type="spellStart"/>
            <w:r w:rsidRPr="00E44D9A">
              <w:rPr>
                <w:b/>
                <w:bCs/>
                <w:sz w:val="22"/>
                <w:szCs w:val="22"/>
              </w:rPr>
              <w:t>Indexation</w:t>
            </w:r>
            <w:proofErr w:type="spellEnd"/>
            <w:r w:rsidRPr="00E44D9A">
              <w:rPr>
                <w:b/>
                <w:bCs/>
                <w:sz w:val="22"/>
                <w:szCs w:val="22"/>
              </w:rPr>
              <w:t xml:space="preserve"> period</w:t>
            </w:r>
            <w:r w:rsidRPr="00E44D9A">
              <w:rPr>
                <w:sz w:val="22"/>
                <w:szCs w:val="22"/>
              </w:rPr>
              <w:t xml:space="preserve"> - Construction </w:t>
            </w:r>
            <w:proofErr w:type="spellStart"/>
            <w:r w:rsidRPr="00E44D9A">
              <w:rPr>
                <w:sz w:val="22"/>
                <w:szCs w:val="22"/>
              </w:rPr>
              <w:t>works</w:t>
            </w:r>
            <w:proofErr w:type="spellEnd"/>
            <w:r w:rsidRPr="00E44D9A">
              <w:rPr>
                <w:sz w:val="22"/>
                <w:szCs w:val="22"/>
              </w:rPr>
              <w:t xml:space="preserve"> </w:t>
            </w:r>
            <w:proofErr w:type="spellStart"/>
            <w:r w:rsidRPr="00E44D9A">
              <w:rPr>
                <w:sz w:val="22"/>
                <w:szCs w:val="22"/>
              </w:rPr>
              <w:t>performed</w:t>
            </w:r>
            <w:proofErr w:type="spellEnd"/>
            <w:r w:rsidRPr="00E44D9A">
              <w:rPr>
                <w:sz w:val="22"/>
                <w:szCs w:val="22"/>
              </w:rPr>
              <w:t xml:space="preserve"> </w:t>
            </w:r>
            <w:proofErr w:type="spellStart"/>
            <w:r w:rsidRPr="00E44D9A">
              <w:rPr>
                <w:sz w:val="22"/>
                <w:szCs w:val="22"/>
              </w:rPr>
              <w:t>starting</w:t>
            </w:r>
            <w:proofErr w:type="spellEnd"/>
            <w:r w:rsidRPr="00E44D9A">
              <w:rPr>
                <w:sz w:val="22"/>
                <w:szCs w:val="22"/>
              </w:rPr>
              <w:t xml:space="preserve"> </w:t>
            </w:r>
            <w:proofErr w:type="spellStart"/>
            <w:r w:rsidRPr="00E44D9A">
              <w:rPr>
                <w:sz w:val="22"/>
                <w:szCs w:val="22"/>
              </w:rPr>
              <w:t>from</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conclusion</w:t>
            </w:r>
            <w:proofErr w:type="spellEnd"/>
            <w:r w:rsidRPr="00E44D9A">
              <w:rPr>
                <w:sz w:val="22"/>
                <w:szCs w:val="22"/>
              </w:rPr>
              <w:t xml:space="preserv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contract</w:t>
            </w:r>
            <w:proofErr w:type="spellEnd"/>
            <w:r w:rsidRPr="00E44D9A">
              <w:rPr>
                <w:sz w:val="22"/>
                <w:szCs w:val="22"/>
              </w:rPr>
              <w:t xml:space="preserve"> (</w:t>
            </w:r>
            <w:proofErr w:type="spellStart"/>
            <w:r w:rsidRPr="00E44D9A">
              <w:rPr>
                <w:sz w:val="22"/>
                <w:szCs w:val="22"/>
              </w:rPr>
              <w:t>for</w:t>
            </w:r>
            <w:proofErr w:type="spellEnd"/>
            <w:r w:rsidRPr="00E44D9A">
              <w:rPr>
                <w:sz w:val="22"/>
                <w:szCs w:val="22"/>
              </w:rPr>
              <w:t xml:space="preserve"> </w:t>
            </w:r>
            <w:proofErr w:type="spellStart"/>
            <w:r w:rsidRPr="00E44D9A">
              <w:rPr>
                <w:sz w:val="22"/>
                <w:szCs w:val="22"/>
              </w:rPr>
              <w:t>example</w:t>
            </w:r>
            <w:proofErr w:type="spellEnd"/>
            <w:r w:rsidRPr="00E44D9A">
              <w:rPr>
                <w:sz w:val="22"/>
                <w:szCs w:val="22"/>
              </w:rPr>
              <w:t xml:space="preserve">, </w:t>
            </w:r>
            <w:proofErr w:type="spellStart"/>
            <w:r w:rsidRPr="00E44D9A">
              <w:rPr>
                <w:sz w:val="22"/>
                <w:szCs w:val="22"/>
              </w:rPr>
              <w:t>if</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contract</w:t>
            </w:r>
            <w:proofErr w:type="spellEnd"/>
            <w:r w:rsidRPr="00E44D9A">
              <w:rPr>
                <w:sz w:val="22"/>
                <w:szCs w:val="22"/>
              </w:rPr>
              <w:t xml:space="preserve"> </w:t>
            </w:r>
            <w:proofErr w:type="spellStart"/>
            <w:r w:rsidRPr="00E44D9A">
              <w:rPr>
                <w:sz w:val="22"/>
                <w:szCs w:val="22"/>
              </w:rPr>
              <w:t>is</w:t>
            </w:r>
            <w:proofErr w:type="spellEnd"/>
            <w:r w:rsidRPr="00E44D9A">
              <w:rPr>
                <w:sz w:val="22"/>
                <w:szCs w:val="22"/>
              </w:rPr>
              <w:t xml:space="preserve"> </w:t>
            </w:r>
            <w:proofErr w:type="spellStart"/>
            <w:r w:rsidRPr="00E44D9A">
              <w:rPr>
                <w:sz w:val="22"/>
                <w:szCs w:val="22"/>
              </w:rPr>
              <w:t>concluded</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October</w:t>
            </w:r>
            <w:proofErr w:type="spellEnd"/>
            <w:r w:rsidRPr="00E44D9A">
              <w:rPr>
                <w:sz w:val="22"/>
                <w:szCs w:val="22"/>
              </w:rPr>
              <w:t xml:space="preserve">, </w:t>
            </w:r>
            <w:proofErr w:type="spellStart"/>
            <w:r w:rsidRPr="00E44D9A">
              <w:rPr>
                <w:sz w:val="22"/>
                <w:szCs w:val="22"/>
              </w:rPr>
              <w:t>indexation</w:t>
            </w:r>
            <w:proofErr w:type="spellEnd"/>
            <w:r w:rsidRPr="00E44D9A">
              <w:rPr>
                <w:sz w:val="22"/>
                <w:szCs w:val="22"/>
              </w:rPr>
              <w:t xml:space="preserve"> </w:t>
            </w:r>
            <w:proofErr w:type="spellStart"/>
            <w:r w:rsidRPr="00E44D9A">
              <w:rPr>
                <w:sz w:val="22"/>
                <w:szCs w:val="22"/>
              </w:rPr>
              <w:t>is</w:t>
            </w:r>
            <w:proofErr w:type="spellEnd"/>
            <w:r w:rsidRPr="00E44D9A">
              <w:rPr>
                <w:sz w:val="22"/>
                <w:szCs w:val="22"/>
              </w:rPr>
              <w:t xml:space="preserve"> </w:t>
            </w:r>
            <w:proofErr w:type="spellStart"/>
            <w:r w:rsidRPr="00E44D9A">
              <w:rPr>
                <w:sz w:val="22"/>
                <w:szCs w:val="22"/>
              </w:rPr>
              <w:t>applied</w:t>
            </w:r>
            <w:proofErr w:type="spellEnd"/>
            <w:r w:rsidRPr="00E44D9A">
              <w:rPr>
                <w:sz w:val="22"/>
                <w:szCs w:val="22"/>
              </w:rPr>
              <w:t xml:space="preserve"> </w:t>
            </w:r>
            <w:proofErr w:type="spellStart"/>
            <w:r w:rsidRPr="00E44D9A">
              <w:rPr>
                <w:sz w:val="22"/>
                <w:szCs w:val="22"/>
              </w:rPr>
              <w:t>starting</w:t>
            </w:r>
            <w:proofErr w:type="spellEnd"/>
            <w:r w:rsidRPr="00E44D9A">
              <w:rPr>
                <w:sz w:val="22"/>
                <w:szCs w:val="22"/>
              </w:rPr>
              <w:t xml:space="preserve"> </w:t>
            </w:r>
            <w:proofErr w:type="spellStart"/>
            <w:r w:rsidRPr="00E44D9A">
              <w:rPr>
                <w:sz w:val="22"/>
                <w:szCs w:val="22"/>
              </w:rPr>
              <w:t>from</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works</w:t>
            </w:r>
            <w:proofErr w:type="spellEnd"/>
            <w:r w:rsidRPr="00E44D9A">
              <w:rPr>
                <w:sz w:val="22"/>
                <w:szCs w:val="22"/>
              </w:rPr>
              <w:t xml:space="preserve"> </w:t>
            </w:r>
            <w:proofErr w:type="spellStart"/>
            <w:r w:rsidRPr="00E44D9A">
              <w:rPr>
                <w:sz w:val="22"/>
                <w:szCs w:val="22"/>
              </w:rPr>
              <w:t>performed</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October</w:t>
            </w:r>
            <w:proofErr w:type="spellEnd"/>
            <w:r w:rsidRPr="00E44D9A">
              <w:rPr>
                <w:sz w:val="22"/>
                <w:szCs w:val="22"/>
              </w:rPr>
              <w:t xml:space="preserve">) </w:t>
            </w:r>
            <w:proofErr w:type="spellStart"/>
            <w:r w:rsidRPr="00E44D9A">
              <w:rPr>
                <w:sz w:val="22"/>
                <w:szCs w:val="22"/>
              </w:rPr>
              <w:t>until</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completion</w:t>
            </w:r>
            <w:proofErr w:type="spellEnd"/>
            <w:r w:rsidRPr="00E44D9A">
              <w:rPr>
                <w:sz w:val="22"/>
                <w:szCs w:val="22"/>
              </w:rPr>
              <w:t xml:space="preserv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Contract</w:t>
            </w:r>
            <w:proofErr w:type="spellEnd"/>
            <w:r w:rsidRPr="00E44D9A">
              <w:rPr>
                <w:sz w:val="22"/>
                <w:szCs w:val="22"/>
              </w:rPr>
              <w:t xml:space="preserve"> </w:t>
            </w:r>
            <w:proofErr w:type="spellStart"/>
            <w:r w:rsidRPr="00E44D9A">
              <w:rPr>
                <w:sz w:val="22"/>
                <w:szCs w:val="22"/>
              </w:rPr>
              <w:t>works</w:t>
            </w:r>
            <w:proofErr w:type="spellEnd"/>
            <w:r w:rsidRPr="00E44D9A">
              <w:rPr>
                <w:sz w:val="22"/>
                <w:szCs w:val="22"/>
              </w:rPr>
              <w:t xml:space="preserve"> </w:t>
            </w:r>
            <w:proofErr w:type="spellStart"/>
            <w:r w:rsidRPr="00E44D9A">
              <w:rPr>
                <w:sz w:val="22"/>
                <w:szCs w:val="22"/>
              </w:rPr>
              <w:t>are</w:t>
            </w:r>
            <w:proofErr w:type="spellEnd"/>
            <w:r w:rsidRPr="00E44D9A">
              <w:rPr>
                <w:sz w:val="22"/>
                <w:szCs w:val="22"/>
              </w:rPr>
              <w:t xml:space="preserve"> </w:t>
            </w:r>
            <w:proofErr w:type="spellStart"/>
            <w:r w:rsidRPr="00E44D9A">
              <w:rPr>
                <w:sz w:val="22"/>
                <w:szCs w:val="22"/>
              </w:rPr>
              <w:t>indexed</w:t>
            </w:r>
            <w:proofErr w:type="spellEnd"/>
            <w:r w:rsidRPr="00E44D9A">
              <w:rPr>
                <w:sz w:val="22"/>
                <w:szCs w:val="22"/>
              </w:rPr>
              <w:t>.</w:t>
            </w:r>
          </w:p>
        </w:tc>
      </w:tr>
      <w:tr w:rsidR="000F1A5C" w:rsidRPr="00E7304B" w14:paraId="1757607D" w14:textId="77777777" w:rsidTr="00481668">
        <w:tc>
          <w:tcPr>
            <w:tcW w:w="9502" w:type="dxa"/>
          </w:tcPr>
          <w:p w14:paraId="708E7FFC" w14:textId="77777777" w:rsidR="000F1A5C" w:rsidRPr="00E7304B" w:rsidRDefault="000F1A5C" w:rsidP="00481668">
            <w:pPr>
              <w:spacing w:after="120" w:line="240" w:lineRule="auto"/>
              <w:jc w:val="both"/>
              <w:rPr>
                <w:sz w:val="22"/>
                <w:szCs w:val="22"/>
              </w:rPr>
            </w:pPr>
            <w:proofErr w:type="spellStart"/>
            <w:r w:rsidRPr="00E44D9A">
              <w:rPr>
                <w:b/>
                <w:bCs/>
                <w:sz w:val="22"/>
                <w:szCs w:val="22"/>
              </w:rPr>
              <w:t>Indexation</w:t>
            </w:r>
            <w:proofErr w:type="spellEnd"/>
            <w:r w:rsidRPr="00E44D9A">
              <w:rPr>
                <w:b/>
                <w:bCs/>
                <w:sz w:val="22"/>
                <w:szCs w:val="22"/>
              </w:rPr>
              <w:t xml:space="preserve"> </w:t>
            </w:r>
            <w:proofErr w:type="spellStart"/>
            <w:r w:rsidRPr="00E44D9A">
              <w:rPr>
                <w:b/>
                <w:bCs/>
                <w:sz w:val="22"/>
                <w:szCs w:val="22"/>
              </w:rPr>
              <w:t>application</w:t>
            </w:r>
            <w:proofErr w:type="spellEnd"/>
            <w:r w:rsidRPr="00E44D9A">
              <w:rPr>
                <w:sz w:val="22"/>
                <w:szCs w:val="22"/>
              </w:rPr>
              <w:t xml:space="preserve"> - </w:t>
            </w:r>
            <w:proofErr w:type="spellStart"/>
            <w:r w:rsidRPr="00E44D9A">
              <w:rPr>
                <w:sz w:val="22"/>
                <w:szCs w:val="22"/>
              </w:rPr>
              <w:t>indexation</w:t>
            </w:r>
            <w:proofErr w:type="spellEnd"/>
            <w:r w:rsidRPr="00E44D9A">
              <w:rPr>
                <w:sz w:val="22"/>
                <w:szCs w:val="22"/>
              </w:rPr>
              <w:t xml:space="preserve"> </w:t>
            </w:r>
            <w:proofErr w:type="spellStart"/>
            <w:r w:rsidRPr="00E44D9A">
              <w:rPr>
                <w:sz w:val="22"/>
                <w:szCs w:val="22"/>
              </w:rPr>
              <w:t>is</w:t>
            </w:r>
            <w:proofErr w:type="spellEnd"/>
            <w:r w:rsidRPr="00E44D9A">
              <w:rPr>
                <w:sz w:val="22"/>
                <w:szCs w:val="22"/>
              </w:rPr>
              <w:t xml:space="preserve"> </w:t>
            </w:r>
            <w:proofErr w:type="spellStart"/>
            <w:r w:rsidRPr="00E44D9A">
              <w:rPr>
                <w:sz w:val="22"/>
                <w:szCs w:val="22"/>
              </w:rPr>
              <w:t>applicable</w:t>
            </w:r>
            <w:proofErr w:type="spellEnd"/>
            <w:r w:rsidRPr="00E44D9A">
              <w:rPr>
                <w:sz w:val="22"/>
                <w:szCs w:val="22"/>
              </w:rPr>
              <w:t xml:space="preserve"> </w:t>
            </w:r>
            <w:proofErr w:type="spellStart"/>
            <w:r w:rsidRPr="00E44D9A">
              <w:rPr>
                <w:sz w:val="22"/>
                <w:szCs w:val="22"/>
              </w:rPr>
              <w:t>if</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quarterly</w:t>
            </w:r>
            <w:proofErr w:type="spellEnd"/>
            <w:r w:rsidRPr="00E44D9A">
              <w:rPr>
                <w:sz w:val="22"/>
                <w:szCs w:val="22"/>
              </w:rPr>
              <w:t xml:space="preserve"> </w:t>
            </w:r>
            <w:proofErr w:type="spellStart"/>
            <w:r w:rsidRPr="00E44D9A">
              <w:rPr>
                <w:sz w:val="22"/>
                <w:szCs w:val="22"/>
              </w:rPr>
              <w:t>index</w:t>
            </w:r>
            <w:proofErr w:type="spellEnd"/>
            <w:r w:rsidRPr="00E44D9A">
              <w:rPr>
                <w:sz w:val="22"/>
                <w:szCs w:val="22"/>
              </w:rPr>
              <w:t xml:space="preserve"> </w:t>
            </w:r>
            <w:proofErr w:type="spellStart"/>
            <w:r w:rsidRPr="00E44D9A">
              <w:rPr>
                <w:sz w:val="22"/>
                <w:szCs w:val="22"/>
              </w:rPr>
              <w:t>fluctuations</w:t>
            </w:r>
            <w:proofErr w:type="spellEnd"/>
            <w:r w:rsidRPr="00E44D9A">
              <w:rPr>
                <w:sz w:val="22"/>
                <w:szCs w:val="22"/>
              </w:rPr>
              <w:t xml:space="preserv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relevant </w:t>
            </w:r>
            <w:proofErr w:type="spellStart"/>
            <w:r w:rsidRPr="00E44D9A">
              <w:rPr>
                <w:sz w:val="22"/>
                <w:szCs w:val="22"/>
              </w:rPr>
              <w:t>resource</w:t>
            </w:r>
            <w:proofErr w:type="spellEnd"/>
            <w:r w:rsidRPr="00E44D9A">
              <w:rPr>
                <w:sz w:val="22"/>
                <w:szCs w:val="22"/>
              </w:rPr>
              <w:t xml:space="preserve"> </w:t>
            </w:r>
            <w:proofErr w:type="spellStart"/>
            <w:r w:rsidRPr="00E44D9A">
              <w:rPr>
                <w:sz w:val="22"/>
                <w:szCs w:val="22"/>
              </w:rPr>
              <w:t>exceed</w:t>
            </w:r>
            <w:proofErr w:type="spellEnd"/>
            <w:r w:rsidRPr="00E44D9A">
              <w:rPr>
                <w:sz w:val="22"/>
                <w:szCs w:val="22"/>
              </w:rPr>
              <w:t xml:space="preserve"> 4% </w:t>
            </w:r>
            <w:proofErr w:type="spellStart"/>
            <w:r w:rsidRPr="00E44D9A">
              <w:rPr>
                <w:sz w:val="22"/>
                <w:szCs w:val="22"/>
              </w:rPr>
              <w:t>compared</w:t>
            </w:r>
            <w:proofErr w:type="spellEnd"/>
            <w:r w:rsidRPr="00E44D9A">
              <w:rPr>
                <w:sz w:val="22"/>
                <w:szCs w:val="22"/>
              </w:rPr>
              <w:t xml:space="preserve"> to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indexation</w:t>
            </w:r>
            <w:proofErr w:type="spellEnd"/>
            <w:r w:rsidRPr="00E44D9A">
              <w:rPr>
                <w:sz w:val="22"/>
                <w:szCs w:val="22"/>
              </w:rPr>
              <w:t xml:space="preserve"> </w:t>
            </w:r>
            <w:proofErr w:type="spellStart"/>
            <w:r w:rsidRPr="00E44D9A">
              <w:rPr>
                <w:sz w:val="22"/>
                <w:szCs w:val="22"/>
              </w:rPr>
              <w:t>base</w:t>
            </w:r>
            <w:proofErr w:type="spellEnd"/>
            <w:r w:rsidRPr="00E44D9A">
              <w:rPr>
                <w:sz w:val="22"/>
                <w:szCs w:val="22"/>
              </w:rPr>
              <w:t xml:space="preserve"> period.</w:t>
            </w:r>
          </w:p>
          <w:p w14:paraId="25D0C81B" w14:textId="77777777" w:rsidR="000F1A5C" w:rsidRDefault="000F1A5C" w:rsidP="00481668">
            <w:pPr>
              <w:spacing w:before="60" w:after="60"/>
              <w:ind w:left="21"/>
              <w:jc w:val="both"/>
              <w:rPr>
                <w:sz w:val="22"/>
                <w:szCs w:val="22"/>
              </w:rPr>
            </w:pPr>
            <w:proofErr w:type="spellStart"/>
            <w:r w:rsidRPr="00E44D9A">
              <w:rPr>
                <w:sz w:val="22"/>
                <w:szCs w:val="22"/>
              </w:rPr>
              <w:t>Indexation</w:t>
            </w:r>
            <w:proofErr w:type="spellEnd"/>
            <w:r w:rsidRPr="00E44D9A">
              <w:rPr>
                <w:sz w:val="22"/>
                <w:szCs w:val="22"/>
              </w:rPr>
              <w:t xml:space="preserve"> </w:t>
            </w:r>
            <w:proofErr w:type="spellStart"/>
            <w:r w:rsidRPr="00E44D9A">
              <w:rPr>
                <w:sz w:val="22"/>
                <w:szCs w:val="22"/>
              </w:rPr>
              <w:t>is</w:t>
            </w:r>
            <w:proofErr w:type="spellEnd"/>
            <w:r w:rsidRPr="00E44D9A">
              <w:rPr>
                <w:sz w:val="22"/>
                <w:szCs w:val="22"/>
              </w:rPr>
              <w:t xml:space="preserve"> </w:t>
            </w:r>
            <w:proofErr w:type="spellStart"/>
            <w:r w:rsidRPr="00E44D9A">
              <w:rPr>
                <w:sz w:val="22"/>
                <w:szCs w:val="22"/>
              </w:rPr>
              <w:t>carried</w:t>
            </w:r>
            <w:proofErr w:type="spellEnd"/>
            <w:r w:rsidRPr="00E44D9A">
              <w:rPr>
                <w:sz w:val="22"/>
                <w:szCs w:val="22"/>
              </w:rPr>
              <w:t xml:space="preserve"> </w:t>
            </w:r>
            <w:proofErr w:type="spellStart"/>
            <w:r w:rsidRPr="00E44D9A">
              <w:rPr>
                <w:sz w:val="22"/>
                <w:szCs w:val="22"/>
              </w:rPr>
              <w:t>out</w:t>
            </w:r>
            <w:proofErr w:type="spellEnd"/>
            <w:r w:rsidRPr="00E44D9A">
              <w:rPr>
                <w:sz w:val="22"/>
                <w:szCs w:val="22"/>
              </w:rPr>
              <w:t xml:space="preserve"> </w:t>
            </w:r>
            <w:proofErr w:type="spellStart"/>
            <w:r w:rsidRPr="00E44D9A">
              <w:rPr>
                <w:sz w:val="22"/>
                <w:szCs w:val="22"/>
              </w:rPr>
              <w:t>once</w:t>
            </w:r>
            <w:proofErr w:type="spellEnd"/>
            <w:r w:rsidRPr="00E44D9A">
              <w:rPr>
                <w:sz w:val="22"/>
                <w:szCs w:val="22"/>
              </w:rPr>
              <w:t xml:space="preserve"> a </w:t>
            </w:r>
            <w:proofErr w:type="spellStart"/>
            <w:r w:rsidRPr="00E44D9A">
              <w:rPr>
                <w:sz w:val="22"/>
                <w:szCs w:val="22"/>
              </w:rPr>
              <w:t>quarter</w:t>
            </w:r>
            <w:proofErr w:type="spellEnd"/>
            <w:r w:rsidRPr="00E44D9A">
              <w:rPr>
                <w:sz w:val="22"/>
                <w:szCs w:val="22"/>
              </w:rPr>
              <w:t xml:space="preserve">, </w:t>
            </w:r>
            <w:proofErr w:type="spellStart"/>
            <w:r w:rsidRPr="00E44D9A">
              <w:rPr>
                <w:sz w:val="22"/>
                <w:szCs w:val="22"/>
              </w:rPr>
              <w:t>indexing</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costs</w:t>
            </w:r>
            <w:proofErr w:type="spellEnd"/>
            <w:r w:rsidRPr="00E44D9A">
              <w:rPr>
                <w:sz w:val="22"/>
                <w:szCs w:val="22"/>
              </w:rPr>
              <w:t xml:space="preserv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works</w:t>
            </w:r>
            <w:proofErr w:type="spellEnd"/>
            <w:r w:rsidRPr="00E44D9A">
              <w:rPr>
                <w:sz w:val="22"/>
                <w:szCs w:val="22"/>
              </w:rPr>
              <w:t xml:space="preserve"> </w:t>
            </w:r>
            <w:proofErr w:type="spellStart"/>
            <w:r w:rsidRPr="00E44D9A">
              <w:rPr>
                <w:sz w:val="22"/>
                <w:szCs w:val="22"/>
              </w:rPr>
              <w:t>accepted</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relevant </w:t>
            </w:r>
            <w:proofErr w:type="spellStart"/>
            <w:r w:rsidRPr="00E44D9A">
              <w:rPr>
                <w:sz w:val="22"/>
                <w:szCs w:val="22"/>
              </w:rPr>
              <w:t>quarter</w:t>
            </w:r>
            <w:proofErr w:type="spellEnd"/>
            <w:r>
              <w:rPr>
                <w:sz w:val="22"/>
                <w:szCs w:val="22"/>
              </w:rPr>
              <w:t xml:space="preserve"> </w:t>
            </w:r>
            <w:proofErr w:type="spellStart"/>
            <w:r w:rsidRPr="00E44D9A">
              <w:rPr>
                <w:sz w:val="22"/>
                <w:szCs w:val="22"/>
              </w:rPr>
              <w:t>together</w:t>
            </w:r>
            <w:proofErr w:type="spellEnd"/>
            <w:r w:rsidRPr="00E44D9A">
              <w:rPr>
                <w:sz w:val="22"/>
                <w:szCs w:val="22"/>
              </w:rPr>
              <w:t xml:space="preserve"> </w:t>
            </w:r>
            <w:proofErr w:type="spellStart"/>
            <w:r w:rsidRPr="00E44D9A">
              <w:rPr>
                <w:sz w:val="22"/>
                <w:szCs w:val="22"/>
              </w:rPr>
              <w:t>using</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index</w:t>
            </w:r>
            <w:proofErr w:type="spellEnd"/>
            <w:r w:rsidRPr="00E44D9A">
              <w:rPr>
                <w:sz w:val="22"/>
                <w:szCs w:val="22"/>
              </w:rPr>
              <w:t xml:space="preserve"> "Construction - </w:t>
            </w:r>
            <w:proofErr w:type="spellStart"/>
            <w:r w:rsidRPr="00E44D9A">
              <w:rPr>
                <w:sz w:val="22"/>
                <w:szCs w:val="22"/>
              </w:rPr>
              <w:t>total</w:t>
            </w:r>
            <w:proofErr w:type="spellEnd"/>
            <w:r w:rsidRPr="00E44D9A">
              <w:rPr>
                <w:sz w:val="22"/>
                <w:szCs w:val="22"/>
              </w:rPr>
              <w:t>" (</w:t>
            </w:r>
            <w:proofErr w:type="spellStart"/>
            <w:r w:rsidRPr="00E44D9A">
              <w:rPr>
                <w:sz w:val="22"/>
                <w:szCs w:val="22"/>
              </w:rPr>
              <w:t>group</w:t>
            </w:r>
            <w:proofErr w:type="spellEnd"/>
            <w:r w:rsidRPr="00E44D9A">
              <w:rPr>
                <w:sz w:val="22"/>
                <w:szCs w:val="22"/>
              </w:rPr>
              <w:t xml:space="preserve"> - "</w:t>
            </w:r>
            <w:proofErr w:type="spellStart"/>
            <w:r w:rsidRPr="00E44D9A">
              <w:rPr>
                <w:sz w:val="22"/>
                <w:szCs w:val="22"/>
              </w:rPr>
              <w:t>Civil</w:t>
            </w:r>
            <w:proofErr w:type="spellEnd"/>
            <w:r w:rsidRPr="00E44D9A">
              <w:rPr>
                <w:sz w:val="22"/>
                <w:szCs w:val="22"/>
              </w:rPr>
              <w:t xml:space="preserve"> </w:t>
            </w:r>
            <w:proofErr w:type="spellStart"/>
            <w:r w:rsidRPr="00E44D9A">
              <w:rPr>
                <w:sz w:val="22"/>
                <w:szCs w:val="22"/>
              </w:rPr>
              <w:t>engineering</w:t>
            </w:r>
            <w:proofErr w:type="spellEnd"/>
            <w:r w:rsidRPr="00E44D9A">
              <w:rPr>
                <w:sz w:val="22"/>
                <w:szCs w:val="22"/>
              </w:rPr>
              <w:t xml:space="preserve"> </w:t>
            </w:r>
            <w:proofErr w:type="spellStart"/>
            <w:r w:rsidRPr="00E44D9A">
              <w:rPr>
                <w:sz w:val="22"/>
                <w:szCs w:val="22"/>
              </w:rPr>
              <w:t>constructions</w:t>
            </w:r>
            <w:proofErr w:type="spellEnd"/>
            <w:r w:rsidRPr="00E44D9A">
              <w:rPr>
                <w:sz w:val="22"/>
                <w:szCs w:val="22"/>
              </w:rPr>
              <w:t xml:space="preserve">"). </w:t>
            </w:r>
            <w:proofErr w:type="spellStart"/>
            <w:r w:rsidRPr="00E44D9A">
              <w:rPr>
                <w:sz w:val="22"/>
                <w:szCs w:val="22"/>
              </w:rPr>
              <w:t>Depending</w:t>
            </w:r>
            <w:proofErr w:type="spellEnd"/>
            <w:r w:rsidRPr="00E44D9A">
              <w:rPr>
                <w:sz w:val="22"/>
                <w:szCs w:val="22"/>
              </w:rPr>
              <w:t xml:space="preserve"> </w:t>
            </w:r>
            <w:proofErr w:type="spellStart"/>
            <w:r w:rsidRPr="00E44D9A">
              <w:rPr>
                <w:sz w:val="22"/>
                <w:szCs w:val="22"/>
              </w:rPr>
              <w:t>on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changes</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construction</w:t>
            </w:r>
            <w:proofErr w:type="spellEnd"/>
            <w:r w:rsidRPr="00E44D9A">
              <w:rPr>
                <w:sz w:val="22"/>
                <w:szCs w:val="22"/>
              </w:rPr>
              <w:t xml:space="preserve"> </w:t>
            </w:r>
            <w:proofErr w:type="spellStart"/>
            <w:r w:rsidRPr="00E44D9A">
              <w:rPr>
                <w:sz w:val="22"/>
                <w:szCs w:val="22"/>
              </w:rPr>
              <w:t>cost</w:t>
            </w:r>
            <w:proofErr w:type="spellEnd"/>
            <w:r w:rsidRPr="00E44D9A">
              <w:rPr>
                <w:sz w:val="22"/>
                <w:szCs w:val="22"/>
              </w:rPr>
              <w:t xml:space="preserve"> </w:t>
            </w:r>
            <w:proofErr w:type="spellStart"/>
            <w:r w:rsidRPr="00E44D9A">
              <w:rPr>
                <w:sz w:val="22"/>
                <w:szCs w:val="22"/>
              </w:rPr>
              <w:t>index</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corresponding</w:t>
            </w:r>
            <w:proofErr w:type="spellEnd"/>
            <w:r w:rsidRPr="00E44D9A">
              <w:rPr>
                <w:sz w:val="22"/>
                <w:szCs w:val="22"/>
              </w:rPr>
              <w:t xml:space="preserve"> </w:t>
            </w:r>
            <w:proofErr w:type="spellStart"/>
            <w:r w:rsidRPr="00E44D9A">
              <w:rPr>
                <w:sz w:val="22"/>
                <w:szCs w:val="22"/>
              </w:rPr>
              <w:t>quarterly</w:t>
            </w:r>
            <w:proofErr w:type="spellEnd"/>
            <w:r w:rsidRPr="00E44D9A">
              <w:rPr>
                <w:sz w:val="22"/>
                <w:szCs w:val="22"/>
              </w:rPr>
              <w:t xml:space="preserve"> </w:t>
            </w:r>
            <w:proofErr w:type="spellStart"/>
            <w:r w:rsidRPr="00E44D9A">
              <w:rPr>
                <w:sz w:val="22"/>
                <w:szCs w:val="22"/>
              </w:rPr>
              <w:t>correction</w:t>
            </w:r>
            <w:proofErr w:type="spellEnd"/>
            <w:r w:rsidRPr="00E44D9A">
              <w:rPr>
                <w:sz w:val="22"/>
                <w:szCs w:val="22"/>
              </w:rPr>
              <w:t xml:space="preserve"> </w:t>
            </w:r>
            <w:proofErr w:type="spellStart"/>
            <w:r w:rsidRPr="00E44D9A">
              <w:rPr>
                <w:sz w:val="22"/>
                <w:szCs w:val="22"/>
              </w:rPr>
              <w:t>amount</w:t>
            </w:r>
            <w:proofErr w:type="spellEnd"/>
            <w:r w:rsidRPr="00E44D9A">
              <w:rPr>
                <w:sz w:val="22"/>
                <w:szCs w:val="22"/>
              </w:rPr>
              <w:t xml:space="preserve"> (</w:t>
            </w:r>
            <w:proofErr w:type="spellStart"/>
            <w:r w:rsidRPr="00E44D9A">
              <w:rPr>
                <w:sz w:val="22"/>
                <w:szCs w:val="22"/>
              </w:rPr>
              <w:t>increase</w:t>
            </w:r>
            <w:proofErr w:type="spellEnd"/>
            <w:r w:rsidRPr="00E44D9A">
              <w:rPr>
                <w:sz w:val="22"/>
                <w:szCs w:val="22"/>
              </w:rPr>
              <w:t xml:space="preserve"> </w:t>
            </w:r>
            <w:proofErr w:type="spellStart"/>
            <w:r w:rsidRPr="00E44D9A">
              <w:rPr>
                <w:sz w:val="22"/>
                <w:szCs w:val="22"/>
              </w:rPr>
              <w:t>or</w:t>
            </w:r>
            <w:proofErr w:type="spellEnd"/>
            <w:r w:rsidRPr="00E44D9A">
              <w:rPr>
                <w:sz w:val="22"/>
                <w:szCs w:val="22"/>
              </w:rPr>
              <w:t xml:space="preserve"> </w:t>
            </w:r>
            <w:proofErr w:type="spellStart"/>
            <w:r w:rsidRPr="00E44D9A">
              <w:rPr>
                <w:sz w:val="22"/>
                <w:szCs w:val="22"/>
              </w:rPr>
              <w:t>decrease</w:t>
            </w:r>
            <w:proofErr w:type="spellEnd"/>
            <w:r w:rsidRPr="00E44D9A">
              <w:rPr>
                <w:sz w:val="22"/>
                <w:szCs w:val="22"/>
              </w:rPr>
              <w:t xml:space="preserve">) </w:t>
            </w:r>
            <w:proofErr w:type="spellStart"/>
            <w:r w:rsidRPr="00E44D9A">
              <w:rPr>
                <w:sz w:val="22"/>
                <w:szCs w:val="22"/>
              </w:rPr>
              <w:t>is</w:t>
            </w:r>
            <w:proofErr w:type="spellEnd"/>
            <w:r w:rsidRPr="00E44D9A">
              <w:rPr>
                <w:sz w:val="22"/>
                <w:szCs w:val="22"/>
              </w:rPr>
              <w:t xml:space="preserve"> </w:t>
            </w:r>
            <w:proofErr w:type="spellStart"/>
            <w:r w:rsidRPr="00E44D9A">
              <w:rPr>
                <w:sz w:val="22"/>
                <w:szCs w:val="22"/>
              </w:rPr>
              <w:t>calculated</w:t>
            </w:r>
            <w:proofErr w:type="spellEnd"/>
            <w:r w:rsidRPr="00E44D9A">
              <w:rPr>
                <w:sz w:val="22"/>
                <w:szCs w:val="22"/>
              </w:rPr>
              <w:t>.</w:t>
            </w:r>
          </w:p>
          <w:p w14:paraId="55997A77" w14:textId="77777777" w:rsidR="000F1A5C" w:rsidRPr="00E7304B" w:rsidRDefault="008551F7" w:rsidP="00481668">
            <w:pPr>
              <w:spacing w:before="60" w:after="60"/>
              <w:ind w:left="21"/>
              <w:jc w:val="both"/>
              <w:rPr>
                <w:b/>
                <w:bCs/>
                <w:sz w:val="22"/>
                <w:szCs w:val="22"/>
                <w:vertAlign w:val="superscript"/>
              </w:rPr>
            </w:pPr>
            <m:oMathPara>
              <m:oMathParaPr>
                <m:jc m:val="center"/>
              </m:oMathParaPr>
              <m:oMath>
                <m:sSub>
                  <m:sSubPr>
                    <m:ctrlPr>
                      <w:rPr>
                        <w:rFonts w:ascii="Cambria Math" w:hAnsi="Cambria Math"/>
                        <w:bCs/>
                        <w:i/>
                        <w:sz w:val="22"/>
                        <w:szCs w:val="22"/>
                        <w:vertAlign w:val="subscript"/>
                      </w:rPr>
                    </m:ctrlPr>
                  </m:sSubPr>
                  <m:e>
                    <m:r>
                      <w:rPr>
                        <w:rFonts w:ascii="Cambria Math" w:hAnsi="Cambria Math"/>
                        <w:sz w:val="22"/>
                        <w:szCs w:val="22"/>
                        <w:vertAlign w:val="subscript"/>
                      </w:rPr>
                      <m:t>B</m:t>
                    </m:r>
                  </m:e>
                  <m:sub>
                    <m:r>
                      <w:rPr>
                        <w:rFonts w:ascii="Cambria Math" w:hAnsi="Cambria Math"/>
                        <w:sz w:val="22"/>
                        <w:szCs w:val="22"/>
                        <w:vertAlign w:val="subscript"/>
                      </w:rPr>
                      <m:t>kor</m:t>
                    </m:r>
                  </m:sub>
                </m:sSub>
                <m:r>
                  <w:rPr>
                    <w:rFonts w:ascii="Cambria Math" w:hAnsi="Cambria Math"/>
                    <w:sz w:val="22"/>
                    <w:szCs w:val="22"/>
                    <w:vertAlign w:val="subscript"/>
                  </w:rPr>
                  <m:t>=</m:t>
                </m:r>
                <m:sSub>
                  <m:sSubPr>
                    <m:ctrlPr>
                      <w:rPr>
                        <w:rFonts w:ascii="Cambria Math" w:hAnsi="Cambria Math"/>
                        <w:bCs/>
                        <w:i/>
                        <w:sz w:val="22"/>
                        <w:szCs w:val="22"/>
                        <w:vertAlign w:val="subscript"/>
                      </w:rPr>
                    </m:ctrlPr>
                  </m:sSubPr>
                  <m:e>
                    <m:r>
                      <w:rPr>
                        <w:rFonts w:ascii="Cambria Math" w:hAnsi="Cambria Math"/>
                        <w:sz w:val="22"/>
                        <w:szCs w:val="22"/>
                        <w:vertAlign w:val="subscript"/>
                      </w:rPr>
                      <m:t>B</m:t>
                    </m:r>
                  </m:e>
                  <m:sub>
                    <m:r>
                      <w:rPr>
                        <w:rFonts w:ascii="Cambria Math" w:hAnsi="Cambria Math"/>
                        <w:sz w:val="22"/>
                        <w:szCs w:val="22"/>
                        <w:vertAlign w:val="subscript"/>
                      </w:rPr>
                      <m:t>n</m:t>
                    </m:r>
                  </m:sub>
                </m:sSub>
                <m:r>
                  <w:rPr>
                    <w:rFonts w:ascii="Cambria Math" w:hAnsi="Cambria Math"/>
                    <w:sz w:val="22"/>
                    <w:szCs w:val="22"/>
                    <w:vertAlign w:val="subscript"/>
                  </w:rPr>
                  <m:t>×</m:t>
                </m:r>
                <m:d>
                  <m:dPr>
                    <m:ctrlPr>
                      <w:rPr>
                        <w:rFonts w:ascii="Cambria Math" w:hAnsi="Cambria Math"/>
                        <w:i/>
                        <w:sz w:val="22"/>
                        <w:szCs w:val="22"/>
                        <w:vertAlign w:val="subscript"/>
                      </w:rPr>
                    </m:ctrlPr>
                  </m:dPr>
                  <m:e>
                    <m:f>
                      <m:fPr>
                        <m:ctrlPr>
                          <w:rPr>
                            <w:rFonts w:ascii="Cambria Math" w:hAnsi="Cambria Math"/>
                            <w:bCs/>
                            <w:sz w:val="22"/>
                            <w:szCs w:val="22"/>
                            <w:vertAlign w:val="subscript"/>
                          </w:rPr>
                        </m:ctrlPr>
                      </m:fPr>
                      <m:num>
                        <m:sSub>
                          <m:sSubPr>
                            <m:ctrlPr>
                              <w:rPr>
                                <w:rFonts w:ascii="Cambria Math" w:hAnsi="Cambria Math"/>
                                <w:bCs/>
                                <w:sz w:val="22"/>
                                <w:szCs w:val="22"/>
                                <w:vertAlign w:val="subscript"/>
                              </w:rPr>
                            </m:ctrlPr>
                          </m:sSubPr>
                          <m:e>
                            <m:r>
                              <w:rPr>
                                <w:rFonts w:ascii="Cambria Math" w:hAnsi="Cambria Math"/>
                                <w:sz w:val="22"/>
                                <w:szCs w:val="22"/>
                                <w:vertAlign w:val="subscript"/>
                              </w:rPr>
                              <m:t>I</m:t>
                            </m:r>
                          </m:e>
                          <m:sub>
                            <m:r>
                              <w:rPr>
                                <w:rFonts w:ascii="Cambria Math" w:hAnsi="Cambria Math"/>
                                <w:sz w:val="22"/>
                                <w:szCs w:val="22"/>
                                <w:vertAlign w:val="subscript"/>
                              </w:rPr>
                              <m:t>Bn</m:t>
                            </m:r>
                          </m:sub>
                        </m:sSub>
                        <m:r>
                          <m:rPr>
                            <m:sty m:val="p"/>
                          </m:rPr>
                          <w:rPr>
                            <w:rFonts w:ascii="Cambria Math" w:hAnsi="Cambria Math"/>
                            <w:sz w:val="22"/>
                            <w:szCs w:val="22"/>
                            <w:vertAlign w:val="subscript"/>
                          </w:rPr>
                          <m:t>-</m:t>
                        </m:r>
                        <m:sSub>
                          <m:sSubPr>
                            <m:ctrlPr>
                              <w:rPr>
                                <w:rFonts w:ascii="Cambria Math" w:hAnsi="Cambria Math"/>
                                <w:bCs/>
                                <w:sz w:val="22"/>
                                <w:szCs w:val="22"/>
                                <w:vertAlign w:val="subscript"/>
                              </w:rPr>
                            </m:ctrlPr>
                          </m:sSubPr>
                          <m:e>
                            <m:r>
                              <w:rPr>
                                <w:rFonts w:ascii="Cambria Math" w:hAnsi="Cambria Math"/>
                                <w:sz w:val="22"/>
                                <w:szCs w:val="22"/>
                                <w:vertAlign w:val="subscript"/>
                              </w:rPr>
                              <m:t>I</m:t>
                            </m:r>
                          </m:e>
                          <m:sub>
                            <m:r>
                              <w:rPr>
                                <w:rFonts w:ascii="Cambria Math" w:hAnsi="Cambria Math"/>
                                <w:sz w:val="22"/>
                                <w:szCs w:val="22"/>
                                <w:vertAlign w:val="subscript"/>
                              </w:rPr>
                              <m:t>B0</m:t>
                            </m:r>
                          </m:sub>
                        </m:sSub>
                        <m:r>
                          <m:rPr>
                            <m:sty m:val="p"/>
                          </m:rPr>
                          <w:rPr>
                            <w:rFonts w:ascii="Cambria Math" w:hAnsi="Cambria Math"/>
                            <w:sz w:val="22"/>
                            <w:szCs w:val="22"/>
                            <w:vertAlign w:val="subscript"/>
                          </w:rPr>
                          <m:t xml:space="preserve"> </m:t>
                        </m:r>
                      </m:num>
                      <m:den>
                        <m:sSub>
                          <m:sSubPr>
                            <m:ctrlPr>
                              <w:rPr>
                                <w:rFonts w:ascii="Cambria Math" w:hAnsi="Cambria Math"/>
                                <w:bCs/>
                                <w:sz w:val="22"/>
                                <w:szCs w:val="22"/>
                                <w:vertAlign w:val="subscript"/>
                              </w:rPr>
                            </m:ctrlPr>
                          </m:sSubPr>
                          <m:e>
                            <m:r>
                              <w:rPr>
                                <w:rFonts w:ascii="Cambria Math" w:hAnsi="Cambria Math"/>
                                <w:sz w:val="22"/>
                                <w:szCs w:val="22"/>
                                <w:vertAlign w:val="subscript"/>
                              </w:rPr>
                              <m:t>I</m:t>
                            </m:r>
                          </m:e>
                          <m:sub>
                            <m:r>
                              <w:rPr>
                                <w:rFonts w:ascii="Cambria Math" w:hAnsi="Cambria Math"/>
                                <w:sz w:val="22"/>
                                <w:szCs w:val="22"/>
                                <w:vertAlign w:val="subscript"/>
                              </w:rPr>
                              <m:t>B0</m:t>
                            </m:r>
                          </m:sub>
                        </m:sSub>
                      </m:den>
                    </m:f>
                    <m:r>
                      <w:rPr>
                        <w:rFonts w:ascii="Cambria Math" w:hAnsi="Cambria Math"/>
                        <w:sz w:val="22"/>
                        <w:szCs w:val="22"/>
                        <w:vertAlign w:val="subscript"/>
                      </w:rPr>
                      <m:t>±4%</m:t>
                    </m:r>
                  </m:e>
                </m:d>
              </m:oMath>
            </m:oMathPara>
          </w:p>
          <w:p w14:paraId="7BFC0C15" w14:textId="77777777" w:rsidR="000F1A5C" w:rsidRPr="00E7304B" w:rsidRDefault="000F1A5C" w:rsidP="00481668">
            <w:pPr>
              <w:spacing w:before="60" w:after="60"/>
              <w:ind w:left="730" w:hanging="709"/>
              <w:jc w:val="both"/>
              <w:rPr>
                <w:sz w:val="22"/>
                <w:szCs w:val="22"/>
              </w:rPr>
            </w:pPr>
            <w:proofErr w:type="spellStart"/>
            <w:r w:rsidRPr="00E7304B">
              <w:rPr>
                <w:sz w:val="22"/>
                <w:szCs w:val="22"/>
              </w:rPr>
              <w:t>B</w:t>
            </w:r>
            <w:r w:rsidRPr="00E7304B">
              <w:rPr>
                <w:b/>
                <w:bCs/>
                <w:sz w:val="22"/>
                <w:szCs w:val="22"/>
                <w:vertAlign w:val="subscript"/>
              </w:rPr>
              <w:t>kor</w:t>
            </w:r>
            <w:proofErr w:type="spellEnd"/>
            <w:r w:rsidRPr="00E7304B">
              <w:rPr>
                <w:sz w:val="22"/>
                <w:szCs w:val="22"/>
              </w:rPr>
              <w:t xml:space="preserve"> – </w:t>
            </w:r>
            <w:proofErr w:type="spellStart"/>
            <w:r w:rsidRPr="00E44D9A">
              <w:rPr>
                <w:sz w:val="22"/>
                <w:szCs w:val="22"/>
              </w:rPr>
              <w:t>correction</w:t>
            </w:r>
            <w:proofErr w:type="spellEnd"/>
            <w:r w:rsidRPr="00E44D9A">
              <w:rPr>
                <w:sz w:val="22"/>
                <w:szCs w:val="22"/>
              </w:rPr>
              <w:t xml:space="preserve"> </w:t>
            </w:r>
            <w:proofErr w:type="spellStart"/>
            <w:r w:rsidRPr="00E44D9A">
              <w:rPr>
                <w:sz w:val="22"/>
                <w:szCs w:val="22"/>
              </w:rPr>
              <w:t>amount</w:t>
            </w:r>
            <w:proofErr w:type="spellEnd"/>
            <w:r w:rsidRPr="00E44D9A">
              <w:rPr>
                <w:sz w:val="22"/>
                <w:szCs w:val="22"/>
              </w:rPr>
              <w:t xml:space="preserv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works</w:t>
            </w:r>
            <w:proofErr w:type="spellEnd"/>
            <w:r w:rsidRPr="00E44D9A">
              <w:rPr>
                <w:sz w:val="22"/>
                <w:szCs w:val="22"/>
              </w:rPr>
              <w:t xml:space="preserve">, </w:t>
            </w:r>
            <w:proofErr w:type="spellStart"/>
            <w:r w:rsidRPr="00E44D9A">
              <w:rPr>
                <w:sz w:val="22"/>
                <w:szCs w:val="22"/>
              </w:rPr>
              <w:t>equipment</w:t>
            </w:r>
            <w:proofErr w:type="spellEnd"/>
            <w:r w:rsidRPr="00E44D9A">
              <w:rPr>
                <w:sz w:val="22"/>
                <w:szCs w:val="22"/>
              </w:rPr>
              <w:t xml:space="preserve"> </w:t>
            </w:r>
            <w:proofErr w:type="spellStart"/>
            <w:r w:rsidRPr="00E44D9A">
              <w:rPr>
                <w:sz w:val="22"/>
                <w:szCs w:val="22"/>
              </w:rPr>
              <w:t>and</w:t>
            </w:r>
            <w:proofErr w:type="spellEnd"/>
            <w:r w:rsidRPr="00E44D9A">
              <w:rPr>
                <w:sz w:val="22"/>
                <w:szCs w:val="22"/>
              </w:rPr>
              <w:t xml:space="preserve"> </w:t>
            </w:r>
            <w:proofErr w:type="spellStart"/>
            <w:r w:rsidRPr="00E44D9A">
              <w:rPr>
                <w:sz w:val="22"/>
                <w:szCs w:val="22"/>
              </w:rPr>
              <w:t>materials</w:t>
            </w:r>
            <w:proofErr w:type="spellEnd"/>
            <w:r w:rsidRPr="00E44D9A">
              <w:rPr>
                <w:sz w:val="22"/>
                <w:szCs w:val="22"/>
              </w:rPr>
              <w:t xml:space="preserve"> </w:t>
            </w:r>
            <w:proofErr w:type="spellStart"/>
            <w:r w:rsidRPr="00E44D9A">
              <w:rPr>
                <w:sz w:val="22"/>
                <w:szCs w:val="22"/>
              </w:rPr>
              <w:t>accepted</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quarter</w:t>
            </w:r>
            <w:proofErr w:type="spellEnd"/>
            <w:r w:rsidRPr="00E7304B">
              <w:rPr>
                <w:sz w:val="22"/>
                <w:szCs w:val="22"/>
              </w:rPr>
              <w:t>;</w:t>
            </w:r>
          </w:p>
          <w:p w14:paraId="0F686E34" w14:textId="77777777" w:rsidR="000F1A5C" w:rsidRPr="00E7304B" w:rsidRDefault="000F1A5C" w:rsidP="00481668">
            <w:pPr>
              <w:spacing w:before="60" w:after="60"/>
              <w:ind w:left="439" w:hanging="418"/>
              <w:jc w:val="both"/>
              <w:rPr>
                <w:sz w:val="22"/>
                <w:szCs w:val="22"/>
              </w:rPr>
            </w:pPr>
            <w:proofErr w:type="spellStart"/>
            <w:r w:rsidRPr="00E7304B">
              <w:rPr>
                <w:sz w:val="22"/>
                <w:szCs w:val="22"/>
              </w:rPr>
              <w:t>B</w:t>
            </w:r>
            <w:r w:rsidRPr="00E7304B">
              <w:rPr>
                <w:sz w:val="22"/>
                <w:szCs w:val="22"/>
                <w:vertAlign w:val="subscript"/>
              </w:rPr>
              <w:t>n</w:t>
            </w:r>
            <w:proofErr w:type="spellEnd"/>
            <w:r w:rsidRPr="00E7304B">
              <w:rPr>
                <w:sz w:val="22"/>
                <w:szCs w:val="22"/>
              </w:rPr>
              <w:t xml:space="preserve"> – </w:t>
            </w:r>
            <w:proofErr w:type="spellStart"/>
            <w:r w:rsidRPr="00E44D9A">
              <w:rPr>
                <w:sz w:val="22"/>
                <w:szCs w:val="22"/>
              </w:rPr>
              <w:t>costs</w:t>
            </w:r>
            <w:proofErr w:type="spellEnd"/>
            <w:r w:rsidRPr="00E44D9A">
              <w:rPr>
                <w:sz w:val="22"/>
                <w:szCs w:val="22"/>
              </w:rPr>
              <w:t xml:space="preserv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works</w:t>
            </w:r>
            <w:proofErr w:type="spellEnd"/>
            <w:r w:rsidRPr="00E44D9A">
              <w:rPr>
                <w:sz w:val="22"/>
                <w:szCs w:val="22"/>
              </w:rPr>
              <w:t xml:space="preserve"> </w:t>
            </w:r>
            <w:proofErr w:type="spellStart"/>
            <w:r w:rsidRPr="00E44D9A">
              <w:rPr>
                <w:sz w:val="22"/>
                <w:szCs w:val="22"/>
              </w:rPr>
              <w:t>accepted</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quarter</w:t>
            </w:r>
            <w:proofErr w:type="spellEnd"/>
            <w:r w:rsidRPr="00E44D9A">
              <w:rPr>
                <w:sz w:val="22"/>
                <w:szCs w:val="22"/>
              </w:rPr>
              <w:t xml:space="preserve">, </w:t>
            </w:r>
            <w:proofErr w:type="spellStart"/>
            <w:r w:rsidRPr="00E44D9A">
              <w:rPr>
                <w:sz w:val="22"/>
                <w:szCs w:val="22"/>
              </w:rPr>
              <w:t>including</w:t>
            </w:r>
            <w:proofErr w:type="spellEnd"/>
            <w:r w:rsidRPr="00E44D9A">
              <w:rPr>
                <w:sz w:val="22"/>
                <w:szCs w:val="22"/>
              </w:rPr>
              <w:t xml:space="preserve"> </w:t>
            </w:r>
            <w:proofErr w:type="spellStart"/>
            <w:r w:rsidRPr="00E44D9A">
              <w:rPr>
                <w:sz w:val="22"/>
                <w:szCs w:val="22"/>
              </w:rPr>
              <w:t>equipment</w:t>
            </w:r>
            <w:proofErr w:type="spellEnd"/>
            <w:r w:rsidRPr="00E44D9A">
              <w:rPr>
                <w:sz w:val="22"/>
                <w:szCs w:val="22"/>
              </w:rPr>
              <w:t xml:space="preserve"> </w:t>
            </w:r>
            <w:proofErr w:type="spellStart"/>
            <w:r w:rsidRPr="00E44D9A">
              <w:rPr>
                <w:sz w:val="22"/>
                <w:szCs w:val="22"/>
              </w:rPr>
              <w:t>and</w:t>
            </w:r>
            <w:proofErr w:type="spellEnd"/>
            <w:r w:rsidRPr="00E44D9A">
              <w:rPr>
                <w:sz w:val="22"/>
                <w:szCs w:val="22"/>
              </w:rPr>
              <w:t xml:space="preserve"> </w:t>
            </w:r>
            <w:proofErr w:type="spellStart"/>
            <w:r w:rsidRPr="00E44D9A">
              <w:rPr>
                <w:sz w:val="22"/>
                <w:szCs w:val="22"/>
              </w:rPr>
              <w:t>materials</w:t>
            </w:r>
            <w:proofErr w:type="spellEnd"/>
            <w:r w:rsidRPr="00E44D9A">
              <w:rPr>
                <w:sz w:val="22"/>
                <w:szCs w:val="22"/>
              </w:rPr>
              <w:t xml:space="preserve">, </w:t>
            </w:r>
            <w:proofErr w:type="spellStart"/>
            <w:r w:rsidRPr="00E44D9A">
              <w:rPr>
                <w:sz w:val="22"/>
                <w:szCs w:val="22"/>
              </w:rPr>
              <w:t>calculated</w:t>
            </w:r>
            <w:proofErr w:type="spellEnd"/>
            <w:r w:rsidRPr="00E44D9A">
              <w:rPr>
                <w:sz w:val="22"/>
                <w:szCs w:val="22"/>
              </w:rPr>
              <w:t xml:space="preserve"> </w:t>
            </w:r>
            <w:proofErr w:type="spellStart"/>
            <w:r w:rsidRPr="00E44D9A">
              <w:rPr>
                <w:sz w:val="22"/>
                <w:szCs w:val="22"/>
              </w:rPr>
              <w:t>by</w:t>
            </w:r>
            <w:proofErr w:type="spellEnd"/>
            <w:r w:rsidRPr="00E44D9A">
              <w:rPr>
                <w:sz w:val="22"/>
                <w:szCs w:val="22"/>
              </w:rPr>
              <w:t xml:space="preserve"> </w:t>
            </w:r>
            <w:proofErr w:type="spellStart"/>
            <w:r w:rsidRPr="00E44D9A">
              <w:rPr>
                <w:sz w:val="22"/>
                <w:szCs w:val="22"/>
              </w:rPr>
              <w:t>summing</w:t>
            </w:r>
            <w:proofErr w:type="spellEnd"/>
            <w:r w:rsidRPr="00E44D9A">
              <w:rPr>
                <w:sz w:val="22"/>
                <w:szCs w:val="22"/>
              </w:rPr>
              <w:t xml:space="preserve"> </w:t>
            </w:r>
            <w:proofErr w:type="spellStart"/>
            <w:r w:rsidRPr="00E44D9A">
              <w:rPr>
                <w:sz w:val="22"/>
                <w:szCs w:val="22"/>
              </w:rPr>
              <w:t>up</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amounts</w:t>
            </w:r>
            <w:proofErr w:type="spellEnd"/>
            <w:r w:rsidRPr="00E44D9A">
              <w:rPr>
                <w:sz w:val="22"/>
                <w:szCs w:val="22"/>
              </w:rPr>
              <w:t xml:space="preserv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direct</w:t>
            </w:r>
            <w:proofErr w:type="spellEnd"/>
            <w:r w:rsidRPr="00E44D9A">
              <w:rPr>
                <w:sz w:val="22"/>
                <w:szCs w:val="22"/>
              </w:rPr>
              <w:t xml:space="preserve"> </w:t>
            </w:r>
            <w:proofErr w:type="spellStart"/>
            <w:r w:rsidRPr="00E44D9A">
              <w:rPr>
                <w:sz w:val="22"/>
                <w:szCs w:val="22"/>
              </w:rPr>
              <w:t>construction</w:t>
            </w:r>
            <w:proofErr w:type="spellEnd"/>
            <w:r w:rsidRPr="00E44D9A">
              <w:rPr>
                <w:sz w:val="22"/>
                <w:szCs w:val="22"/>
              </w:rPr>
              <w:t xml:space="preserve"> </w:t>
            </w:r>
            <w:proofErr w:type="spellStart"/>
            <w:r w:rsidRPr="00E44D9A">
              <w:rPr>
                <w:sz w:val="22"/>
                <w:szCs w:val="22"/>
              </w:rPr>
              <w:t>costs</w:t>
            </w:r>
            <w:proofErr w:type="spellEnd"/>
            <w:r w:rsidRPr="00E44D9A">
              <w:rPr>
                <w:sz w:val="22"/>
                <w:szCs w:val="22"/>
              </w:rPr>
              <w:t xml:space="preserve"> </w:t>
            </w:r>
            <w:proofErr w:type="spellStart"/>
            <w:r w:rsidRPr="00E44D9A">
              <w:rPr>
                <w:sz w:val="22"/>
                <w:szCs w:val="22"/>
              </w:rPr>
              <w:t>excluding</w:t>
            </w:r>
            <w:proofErr w:type="spellEnd"/>
            <w:r w:rsidRPr="00E44D9A">
              <w:rPr>
                <w:sz w:val="22"/>
                <w:szCs w:val="22"/>
              </w:rPr>
              <w:t xml:space="preserve"> VAT </w:t>
            </w:r>
            <w:proofErr w:type="spellStart"/>
            <w:r w:rsidRPr="00E44D9A">
              <w:rPr>
                <w:sz w:val="22"/>
                <w:szCs w:val="22"/>
              </w:rPr>
              <w:t>indicated</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monthly</w:t>
            </w:r>
            <w:proofErr w:type="spellEnd"/>
            <w:r w:rsidRPr="00E44D9A">
              <w:rPr>
                <w:sz w:val="22"/>
                <w:szCs w:val="22"/>
              </w:rPr>
              <w:t xml:space="preserve"> </w:t>
            </w:r>
            <w:proofErr w:type="spellStart"/>
            <w:r w:rsidRPr="00E44D9A">
              <w:rPr>
                <w:sz w:val="22"/>
                <w:szCs w:val="22"/>
              </w:rPr>
              <w:t>invoices</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relevant </w:t>
            </w:r>
            <w:proofErr w:type="spellStart"/>
            <w:r w:rsidRPr="00E44D9A">
              <w:rPr>
                <w:sz w:val="22"/>
                <w:szCs w:val="22"/>
              </w:rPr>
              <w:t>quarter</w:t>
            </w:r>
            <w:proofErr w:type="spellEnd"/>
            <w:r w:rsidRPr="00E44D9A">
              <w:rPr>
                <w:sz w:val="22"/>
                <w:szCs w:val="22"/>
              </w:rPr>
              <w:t xml:space="preserve"> (</w:t>
            </w:r>
            <w:proofErr w:type="spellStart"/>
            <w:r w:rsidRPr="00E44D9A">
              <w:rPr>
                <w:sz w:val="22"/>
                <w:szCs w:val="22"/>
              </w:rPr>
              <w:t>does</w:t>
            </w:r>
            <w:proofErr w:type="spellEnd"/>
            <w:r w:rsidRPr="00E44D9A">
              <w:rPr>
                <w:sz w:val="22"/>
                <w:szCs w:val="22"/>
              </w:rPr>
              <w:t xml:space="preserve"> </w:t>
            </w:r>
            <w:proofErr w:type="spellStart"/>
            <w:r w:rsidRPr="00E44D9A">
              <w:rPr>
                <w:sz w:val="22"/>
                <w:szCs w:val="22"/>
              </w:rPr>
              <w:t>not</w:t>
            </w:r>
            <w:proofErr w:type="spellEnd"/>
            <w:r w:rsidRPr="00E44D9A">
              <w:rPr>
                <w:sz w:val="22"/>
                <w:szCs w:val="22"/>
              </w:rPr>
              <w:t xml:space="preserve"> </w:t>
            </w:r>
            <w:proofErr w:type="spellStart"/>
            <w:r w:rsidRPr="00E44D9A">
              <w:rPr>
                <w:sz w:val="22"/>
                <w:szCs w:val="22"/>
              </w:rPr>
              <w:t>apply</w:t>
            </w:r>
            <w:proofErr w:type="spellEnd"/>
            <w:r w:rsidRPr="00E44D9A">
              <w:rPr>
                <w:sz w:val="22"/>
                <w:szCs w:val="22"/>
              </w:rPr>
              <w:t xml:space="preserve"> to </w:t>
            </w:r>
            <w:proofErr w:type="spellStart"/>
            <w:r w:rsidRPr="00E44D9A">
              <w:rPr>
                <w:sz w:val="22"/>
                <w:szCs w:val="22"/>
              </w:rPr>
              <w:t>the</w:t>
            </w:r>
            <w:proofErr w:type="spellEnd"/>
            <w:r w:rsidRPr="00E44D9A">
              <w:rPr>
                <w:sz w:val="22"/>
                <w:szCs w:val="22"/>
              </w:rPr>
              <w:t xml:space="preserve"> performance </w:t>
            </w:r>
            <w:proofErr w:type="spellStart"/>
            <w:r w:rsidRPr="00E44D9A">
              <w:rPr>
                <w:sz w:val="22"/>
                <w:szCs w:val="22"/>
              </w:rPr>
              <w:t>of</w:t>
            </w:r>
            <w:proofErr w:type="spellEnd"/>
            <w:r w:rsidRPr="00E44D9A">
              <w:rPr>
                <w:sz w:val="22"/>
                <w:szCs w:val="22"/>
              </w:rPr>
              <w:t xml:space="preserve"> </w:t>
            </w:r>
            <w:proofErr w:type="spellStart"/>
            <w:r w:rsidRPr="00E44D9A">
              <w:rPr>
                <w:sz w:val="22"/>
                <w:szCs w:val="22"/>
              </w:rPr>
              <w:t>unforeseen</w:t>
            </w:r>
            <w:proofErr w:type="spellEnd"/>
            <w:r w:rsidRPr="00E44D9A">
              <w:rPr>
                <w:sz w:val="22"/>
                <w:szCs w:val="22"/>
              </w:rPr>
              <w:t xml:space="preserve"> </w:t>
            </w:r>
            <w:proofErr w:type="spellStart"/>
            <w:r w:rsidRPr="00E44D9A">
              <w:rPr>
                <w:sz w:val="22"/>
                <w:szCs w:val="22"/>
              </w:rPr>
              <w:t>works</w:t>
            </w:r>
            <w:proofErr w:type="spellEnd"/>
            <w:r w:rsidRPr="00E7304B">
              <w:rPr>
                <w:sz w:val="22"/>
                <w:szCs w:val="22"/>
              </w:rPr>
              <w:t>);</w:t>
            </w:r>
          </w:p>
          <w:p w14:paraId="34587C03" w14:textId="77777777" w:rsidR="000F1A5C" w:rsidRDefault="000F1A5C" w:rsidP="00481668">
            <w:pPr>
              <w:spacing w:after="120"/>
              <w:jc w:val="both"/>
              <w:rPr>
                <w:sz w:val="22"/>
                <w:szCs w:val="22"/>
              </w:rPr>
            </w:pPr>
            <w:r w:rsidRPr="00E7304B">
              <w:rPr>
                <w:sz w:val="22"/>
                <w:szCs w:val="22"/>
              </w:rPr>
              <w:t>I</w:t>
            </w:r>
            <w:r w:rsidRPr="00E7304B">
              <w:rPr>
                <w:sz w:val="22"/>
                <w:szCs w:val="22"/>
                <w:vertAlign w:val="subscript"/>
              </w:rPr>
              <w:t>B</w:t>
            </w:r>
            <w:r w:rsidRPr="00E7304B">
              <w:rPr>
                <w:sz w:val="22"/>
                <w:szCs w:val="22"/>
              </w:rPr>
              <w:t xml:space="preserve"> – </w:t>
            </w:r>
            <w:proofErr w:type="spellStart"/>
            <w:r w:rsidRPr="00E44D9A">
              <w:rPr>
                <w:sz w:val="22"/>
                <w:szCs w:val="22"/>
              </w:rPr>
              <w:t>construction</w:t>
            </w:r>
            <w:proofErr w:type="spellEnd"/>
            <w:r w:rsidRPr="00E44D9A">
              <w:rPr>
                <w:sz w:val="22"/>
                <w:szCs w:val="22"/>
              </w:rPr>
              <w:t xml:space="preserve"> </w:t>
            </w:r>
            <w:proofErr w:type="spellStart"/>
            <w:r w:rsidRPr="00E44D9A">
              <w:rPr>
                <w:sz w:val="22"/>
                <w:szCs w:val="22"/>
              </w:rPr>
              <w:t>cost</w:t>
            </w:r>
            <w:proofErr w:type="spellEnd"/>
            <w:r w:rsidRPr="00E44D9A">
              <w:rPr>
                <w:sz w:val="22"/>
                <w:szCs w:val="22"/>
              </w:rPr>
              <w:t xml:space="preserve"> </w:t>
            </w:r>
            <w:proofErr w:type="spellStart"/>
            <w:r w:rsidRPr="00E44D9A">
              <w:rPr>
                <w:sz w:val="22"/>
                <w:szCs w:val="22"/>
              </w:rPr>
              <w:t>index</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relevant period (0 – </w:t>
            </w:r>
            <w:proofErr w:type="spellStart"/>
            <w:r w:rsidRPr="00E44D9A">
              <w:rPr>
                <w:sz w:val="22"/>
                <w:szCs w:val="22"/>
              </w:rPr>
              <w:t>base</w:t>
            </w:r>
            <w:proofErr w:type="spellEnd"/>
            <w:r w:rsidRPr="00E44D9A">
              <w:rPr>
                <w:sz w:val="22"/>
                <w:szCs w:val="22"/>
              </w:rPr>
              <w:t xml:space="preserve"> period; n – </w:t>
            </w:r>
            <w:proofErr w:type="spellStart"/>
            <w:r w:rsidRPr="00E44D9A">
              <w:rPr>
                <w:sz w:val="22"/>
                <w:szCs w:val="22"/>
              </w:rPr>
              <w:t>correction</w:t>
            </w:r>
            <w:proofErr w:type="spellEnd"/>
            <w:r w:rsidRPr="00E44D9A">
              <w:rPr>
                <w:sz w:val="22"/>
                <w:szCs w:val="22"/>
              </w:rPr>
              <w:t xml:space="preserve"> period)</w:t>
            </w:r>
          </w:p>
          <w:p w14:paraId="419A3EA1" w14:textId="77777777" w:rsidR="000F1A5C" w:rsidRPr="00E7304B" w:rsidRDefault="000F1A5C" w:rsidP="00481668">
            <w:pPr>
              <w:spacing w:after="120"/>
              <w:jc w:val="both"/>
              <w:rPr>
                <w:sz w:val="22"/>
                <w:szCs w:val="22"/>
              </w:rPr>
            </w:pPr>
            <w:proofErr w:type="spellStart"/>
            <w:r w:rsidRPr="00E44D9A">
              <w:rPr>
                <w:sz w:val="22"/>
                <w:szCs w:val="22"/>
              </w:rPr>
              <w:t>If</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changes</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construction</w:t>
            </w:r>
            <w:proofErr w:type="spellEnd"/>
            <w:r w:rsidRPr="00E44D9A">
              <w:rPr>
                <w:sz w:val="22"/>
                <w:szCs w:val="22"/>
              </w:rPr>
              <w:t xml:space="preserve"> </w:t>
            </w:r>
            <w:proofErr w:type="spellStart"/>
            <w:r w:rsidRPr="00E44D9A">
              <w:rPr>
                <w:sz w:val="22"/>
                <w:szCs w:val="22"/>
              </w:rPr>
              <w:t>cost</w:t>
            </w:r>
            <w:proofErr w:type="spellEnd"/>
            <w:r w:rsidRPr="00E44D9A">
              <w:rPr>
                <w:sz w:val="22"/>
                <w:szCs w:val="22"/>
              </w:rPr>
              <w:t xml:space="preserve"> </w:t>
            </w:r>
            <w:proofErr w:type="spellStart"/>
            <w:r w:rsidRPr="00E44D9A">
              <w:rPr>
                <w:sz w:val="22"/>
                <w:szCs w:val="22"/>
              </w:rPr>
              <w:t>index</w:t>
            </w:r>
            <w:proofErr w:type="spellEnd"/>
            <w:r w:rsidRPr="00E44D9A">
              <w:rPr>
                <w:sz w:val="22"/>
                <w:szCs w:val="22"/>
              </w:rPr>
              <w:t xml:space="preserve"> </w:t>
            </w:r>
            <w:proofErr w:type="spellStart"/>
            <w:r w:rsidRPr="00E44D9A">
              <w:rPr>
                <w:sz w:val="22"/>
                <w:szCs w:val="22"/>
              </w:rPr>
              <w:t>in</w:t>
            </w:r>
            <w:proofErr w:type="spellEnd"/>
            <w:r w:rsidRPr="00E44D9A">
              <w:rPr>
                <w:sz w:val="22"/>
                <w:szCs w:val="22"/>
              </w:rPr>
              <w:t xml:space="preserve"> </w:t>
            </w:r>
            <w:proofErr w:type="spellStart"/>
            <w:r w:rsidRPr="00E44D9A">
              <w:rPr>
                <w:sz w:val="22"/>
                <w:szCs w:val="22"/>
              </w:rPr>
              <w:t>the</w:t>
            </w:r>
            <w:proofErr w:type="spellEnd"/>
            <w:r w:rsidRPr="00E44D9A">
              <w:rPr>
                <w:sz w:val="22"/>
                <w:szCs w:val="22"/>
              </w:rPr>
              <w:t xml:space="preserve"> relevant </w:t>
            </w:r>
            <w:proofErr w:type="spellStart"/>
            <w:r w:rsidRPr="00E44D9A">
              <w:rPr>
                <w:sz w:val="22"/>
                <w:szCs w:val="22"/>
              </w:rPr>
              <w:t>quarter</w:t>
            </w:r>
            <w:proofErr w:type="spellEnd"/>
            <w:r w:rsidRPr="00E44D9A">
              <w:rPr>
                <w:sz w:val="22"/>
                <w:szCs w:val="22"/>
              </w:rPr>
              <w:t xml:space="preserve"> </w:t>
            </w:r>
            <w:proofErr w:type="spellStart"/>
            <w:r w:rsidRPr="00E44D9A">
              <w:rPr>
                <w:sz w:val="22"/>
                <w:szCs w:val="22"/>
              </w:rPr>
              <w:t>compared</w:t>
            </w:r>
            <w:proofErr w:type="spellEnd"/>
            <w:r w:rsidRPr="00E44D9A">
              <w:rPr>
                <w:sz w:val="22"/>
                <w:szCs w:val="22"/>
              </w:rPr>
              <w:t xml:space="preserve"> to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base</w:t>
            </w:r>
            <w:proofErr w:type="spellEnd"/>
            <w:r w:rsidRPr="00E44D9A">
              <w:rPr>
                <w:sz w:val="22"/>
                <w:szCs w:val="22"/>
              </w:rPr>
              <w:t xml:space="preserve"> period do </w:t>
            </w:r>
            <w:proofErr w:type="spellStart"/>
            <w:r w:rsidRPr="00E44D9A">
              <w:rPr>
                <w:sz w:val="22"/>
                <w:szCs w:val="22"/>
              </w:rPr>
              <w:t>not</w:t>
            </w:r>
            <w:proofErr w:type="spellEnd"/>
            <w:r w:rsidRPr="00E44D9A">
              <w:rPr>
                <w:sz w:val="22"/>
                <w:szCs w:val="22"/>
              </w:rPr>
              <w:t xml:space="preserve"> </w:t>
            </w:r>
            <w:proofErr w:type="spellStart"/>
            <w:r w:rsidRPr="00E44D9A">
              <w:rPr>
                <w:sz w:val="22"/>
                <w:szCs w:val="22"/>
              </w:rPr>
              <w:t>exceed</w:t>
            </w:r>
            <w:proofErr w:type="spellEnd"/>
            <w:r w:rsidRPr="00E44D9A">
              <w:rPr>
                <w:sz w:val="22"/>
                <w:szCs w:val="22"/>
              </w:rPr>
              <w:t xml:space="preserve"> 4%, </w:t>
            </w:r>
            <w:proofErr w:type="spellStart"/>
            <w:r w:rsidRPr="00E44D9A">
              <w:rPr>
                <w:sz w:val="22"/>
                <w:szCs w:val="22"/>
              </w:rPr>
              <w:t>the</w:t>
            </w:r>
            <w:proofErr w:type="spellEnd"/>
            <w:r w:rsidRPr="00E44D9A">
              <w:rPr>
                <w:sz w:val="22"/>
                <w:szCs w:val="22"/>
              </w:rPr>
              <w:t xml:space="preserve"> </w:t>
            </w:r>
            <w:proofErr w:type="spellStart"/>
            <w:r w:rsidRPr="00E44D9A">
              <w:rPr>
                <w:sz w:val="22"/>
                <w:szCs w:val="22"/>
              </w:rPr>
              <w:t>correction</w:t>
            </w:r>
            <w:proofErr w:type="spellEnd"/>
            <w:r w:rsidRPr="00E44D9A">
              <w:rPr>
                <w:sz w:val="22"/>
                <w:szCs w:val="22"/>
              </w:rPr>
              <w:t xml:space="preserve"> </w:t>
            </w:r>
            <w:proofErr w:type="spellStart"/>
            <w:r w:rsidRPr="00E44D9A">
              <w:rPr>
                <w:sz w:val="22"/>
                <w:szCs w:val="22"/>
              </w:rPr>
              <w:t>amount</w:t>
            </w:r>
            <w:proofErr w:type="spellEnd"/>
            <w:r w:rsidRPr="00E44D9A">
              <w:rPr>
                <w:sz w:val="22"/>
                <w:szCs w:val="22"/>
              </w:rPr>
              <w:t xml:space="preserve"> (increase or decrease) is not calculated for the relevant quarter</w:t>
            </w:r>
            <w:r w:rsidRPr="00E7304B">
              <w:rPr>
                <w:sz w:val="22"/>
                <w:szCs w:val="22"/>
              </w:rPr>
              <w:t xml:space="preserve">. </w:t>
            </w:r>
          </w:p>
          <w:p w14:paraId="55618186" w14:textId="77777777" w:rsidR="000F1A5C" w:rsidRDefault="000F1A5C" w:rsidP="00481668">
            <w:pPr>
              <w:spacing w:after="120"/>
              <w:jc w:val="both"/>
              <w:rPr>
                <w:sz w:val="22"/>
                <w:szCs w:val="22"/>
              </w:rPr>
            </w:pPr>
            <w:r w:rsidRPr="00E44D9A">
              <w:rPr>
                <w:sz w:val="22"/>
                <w:szCs w:val="22"/>
              </w:rPr>
              <w:t>The correction amount is calculated only for the part of the changes (increase or decrease) in the construction cost index in the relevant quarter that exceeds 4%.</w:t>
            </w:r>
          </w:p>
          <w:p w14:paraId="18B2E61F" w14:textId="77777777" w:rsidR="000F1A5C" w:rsidRPr="00E7304B" w:rsidRDefault="000F1A5C" w:rsidP="00481668">
            <w:pPr>
              <w:spacing w:after="120"/>
              <w:jc w:val="both"/>
              <w:rPr>
                <w:sz w:val="22"/>
                <w:szCs w:val="22"/>
              </w:rPr>
            </w:pPr>
            <w:r w:rsidRPr="00E44D9A">
              <w:rPr>
                <w:sz w:val="22"/>
                <w:szCs w:val="22"/>
              </w:rPr>
              <w:t>The calculation of the correction amount does not apply to the execution of unforeseen works</w:t>
            </w:r>
            <w:r w:rsidRPr="00E7304B">
              <w:rPr>
                <w:sz w:val="22"/>
                <w:szCs w:val="22"/>
              </w:rPr>
              <w:t>.</w:t>
            </w:r>
          </w:p>
          <w:p w14:paraId="2232F114" w14:textId="77777777" w:rsidR="000F1A5C" w:rsidRPr="00E7304B" w:rsidRDefault="000F1A5C" w:rsidP="00481668">
            <w:pPr>
              <w:spacing w:after="120" w:line="240" w:lineRule="auto"/>
              <w:jc w:val="both"/>
              <w:rPr>
                <w:sz w:val="22"/>
                <w:szCs w:val="22"/>
              </w:rPr>
            </w:pPr>
            <w:r w:rsidRPr="00E44D9A">
              <w:rPr>
                <w:sz w:val="22"/>
                <w:szCs w:val="22"/>
              </w:rPr>
              <w:t>The advance payment is not indexed. The Contract price specified in the Contract will be used to calculate the contractual penalties, without applying indexation</w:t>
            </w:r>
          </w:p>
        </w:tc>
      </w:tr>
      <w:tr w:rsidR="000F1A5C" w:rsidRPr="00E7304B" w14:paraId="1659A147" w14:textId="77777777" w:rsidTr="00481668">
        <w:trPr>
          <w:trHeight w:val="1813"/>
        </w:trPr>
        <w:tc>
          <w:tcPr>
            <w:tcW w:w="9502" w:type="dxa"/>
          </w:tcPr>
          <w:p w14:paraId="0E1D552F" w14:textId="77777777" w:rsidR="000F1A5C" w:rsidRPr="00E7304B" w:rsidRDefault="000F1A5C" w:rsidP="00481668">
            <w:pPr>
              <w:spacing w:after="0"/>
              <w:jc w:val="both"/>
              <w:rPr>
                <w:sz w:val="22"/>
                <w:szCs w:val="22"/>
              </w:rPr>
            </w:pPr>
            <w:r w:rsidRPr="00E44D9A">
              <w:rPr>
                <w:b/>
                <w:bCs/>
                <w:sz w:val="22"/>
                <w:szCs w:val="22"/>
              </w:rPr>
              <w:t xml:space="preserve">Payment procedure </w:t>
            </w:r>
            <w:r w:rsidRPr="00E44D9A">
              <w:rPr>
                <w:sz w:val="22"/>
                <w:szCs w:val="22"/>
              </w:rPr>
              <w:t>- the increase in the amount is paid (or the decrease is withheld) at the beginning of each following year by summing up the quarterly adjustments. The final settlement is made after the completion of the contract work and the submission of the last invoice by summing up the relevant quarterly adjustments. The latest available construction cost indices published by the Central Statistical Bureau (CSB) are used for the last submitted invoice.</w:t>
            </w:r>
            <w:r w:rsidRPr="00E7304B">
              <w:rPr>
                <w:sz w:val="22"/>
                <w:szCs w:val="22"/>
              </w:rPr>
              <w:t xml:space="preserve"> </w:t>
            </w:r>
          </w:p>
        </w:tc>
      </w:tr>
    </w:tbl>
    <w:p w14:paraId="2A043BB5" w14:textId="77777777" w:rsidR="008423D6" w:rsidRPr="00E7304B" w:rsidRDefault="008423D6" w:rsidP="00A9204A">
      <w:pPr>
        <w:pStyle w:val="ListParagraph"/>
        <w:rPr>
          <w:rFonts w:ascii="Times New Roman" w:hAnsi="Times New Roman" w:cs="Times New Roman"/>
          <w:b/>
          <w:u w:val="single"/>
        </w:rPr>
      </w:pPr>
    </w:p>
    <w:sectPr w:rsidR="008423D6" w:rsidRPr="00E7304B" w:rsidSect="001A3C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7C167" w14:textId="77777777" w:rsidR="008F2DE7" w:rsidRDefault="008F2DE7" w:rsidP="005C62CD">
      <w:pPr>
        <w:spacing w:after="0" w:line="240" w:lineRule="auto"/>
      </w:pPr>
      <w:r>
        <w:separator/>
      </w:r>
    </w:p>
  </w:endnote>
  <w:endnote w:type="continuationSeparator" w:id="0">
    <w:p w14:paraId="3FBD8873" w14:textId="77777777" w:rsidR="008F2DE7" w:rsidRDefault="008F2DE7" w:rsidP="005C62CD">
      <w:pPr>
        <w:spacing w:after="0" w:line="240" w:lineRule="auto"/>
      </w:pPr>
      <w:r>
        <w:continuationSeparator/>
      </w:r>
    </w:p>
  </w:endnote>
  <w:endnote w:type="continuationNotice" w:id="1">
    <w:p w14:paraId="5E311F04" w14:textId="77777777" w:rsidR="008F2DE7" w:rsidRDefault="008F2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86449" w14:textId="77777777" w:rsidR="008F2DE7" w:rsidRDefault="008F2DE7" w:rsidP="005C62CD">
      <w:pPr>
        <w:spacing w:after="0" w:line="240" w:lineRule="auto"/>
      </w:pPr>
      <w:r>
        <w:separator/>
      </w:r>
    </w:p>
  </w:footnote>
  <w:footnote w:type="continuationSeparator" w:id="0">
    <w:p w14:paraId="300028ED" w14:textId="77777777" w:rsidR="008F2DE7" w:rsidRDefault="008F2DE7" w:rsidP="005C62CD">
      <w:pPr>
        <w:spacing w:after="0" w:line="240" w:lineRule="auto"/>
      </w:pPr>
      <w:r>
        <w:continuationSeparator/>
      </w:r>
    </w:p>
  </w:footnote>
  <w:footnote w:type="continuationNotice" w:id="1">
    <w:p w14:paraId="4FAAF4B0" w14:textId="77777777" w:rsidR="008F2DE7" w:rsidRDefault="008F2DE7">
      <w:pPr>
        <w:spacing w:after="0" w:line="240" w:lineRule="auto"/>
      </w:pPr>
    </w:p>
  </w:footnote>
  <w:footnote w:id="2">
    <w:p w14:paraId="27903306" w14:textId="77777777" w:rsidR="001F1E97" w:rsidRDefault="001F1E97" w:rsidP="001F1E97">
      <w:pPr>
        <w:pStyle w:val="FootnoteText"/>
        <w:ind w:left="426" w:hanging="426"/>
      </w:pPr>
      <w:r>
        <w:rPr>
          <w:rStyle w:val="FootnoteReference"/>
        </w:rPr>
        <w:footnoteRef/>
      </w:r>
      <w:r>
        <w:t xml:space="preserve"> </w:t>
      </w:r>
      <w:r w:rsidRPr="00EE6536">
        <w:rPr>
          <w:i/>
          <w:iCs/>
          <w:color w:val="333333"/>
          <w:shd w:val="clear" w:color="auto" w:fill="FFFFFF"/>
        </w:rPr>
        <w:t>Gadu pa ceturkšņiem sadala šādi</w:t>
      </w:r>
      <w:r>
        <w:rPr>
          <w:i/>
          <w:iCs/>
          <w:color w:val="333333"/>
          <w:shd w:val="clear" w:color="auto" w:fill="FFFFFF"/>
        </w:rPr>
        <w:t xml:space="preserve"> </w:t>
      </w:r>
      <w:r w:rsidRPr="00EE6536">
        <w:rPr>
          <w:i/>
          <w:iCs/>
          <w:color w:val="333333"/>
        </w:rPr>
        <w:br/>
      </w:r>
      <w:r w:rsidRPr="00EE6536">
        <w:rPr>
          <w:i/>
          <w:iCs/>
          <w:color w:val="333333"/>
          <w:shd w:val="clear" w:color="auto" w:fill="FFFFFF"/>
        </w:rPr>
        <w:t>1. ceturksnis – janvāris, februāris, marts;</w:t>
      </w:r>
      <w:r w:rsidRPr="00EE6536">
        <w:rPr>
          <w:i/>
          <w:iCs/>
          <w:color w:val="333333"/>
        </w:rPr>
        <w:br/>
      </w:r>
      <w:r w:rsidRPr="00EE6536">
        <w:rPr>
          <w:i/>
          <w:iCs/>
          <w:color w:val="333333"/>
          <w:shd w:val="clear" w:color="auto" w:fill="FFFFFF"/>
        </w:rPr>
        <w:t>2. ceturksnis – aprīlis, maijs, jūnijs;</w:t>
      </w:r>
      <w:r w:rsidRPr="00EE6536">
        <w:rPr>
          <w:i/>
          <w:iCs/>
          <w:color w:val="333333"/>
        </w:rPr>
        <w:br/>
      </w:r>
      <w:r w:rsidRPr="00EE6536">
        <w:rPr>
          <w:i/>
          <w:iCs/>
          <w:color w:val="333333"/>
          <w:shd w:val="clear" w:color="auto" w:fill="FFFFFF"/>
        </w:rPr>
        <w:t>3. ceturksnis – jūlijs, augusts, septembris</w:t>
      </w:r>
      <w:r>
        <w:rPr>
          <w:i/>
          <w:iCs/>
          <w:color w:val="333333"/>
          <w:shd w:val="clear" w:color="auto" w:fill="FFFFFF"/>
        </w:rPr>
        <w:t>;</w:t>
      </w:r>
      <w:r w:rsidRPr="00EE6536">
        <w:rPr>
          <w:i/>
          <w:iCs/>
          <w:color w:val="333333"/>
        </w:rPr>
        <w:t xml:space="preserve"> </w:t>
      </w:r>
      <w:r w:rsidRPr="00EE6536">
        <w:rPr>
          <w:i/>
          <w:iCs/>
          <w:color w:val="333333"/>
        </w:rPr>
        <w:br/>
      </w:r>
      <w:r w:rsidRPr="00EE6536">
        <w:rPr>
          <w:i/>
          <w:iCs/>
          <w:color w:val="333333"/>
          <w:shd w:val="clear" w:color="auto" w:fill="FFFFFF"/>
        </w:rPr>
        <w:t>4. ceturksnis – oktobris, novembris, decembris.</w:t>
      </w:r>
    </w:p>
  </w:footnote>
  <w:footnote w:id="3">
    <w:p w14:paraId="0CB86778" w14:textId="77777777" w:rsidR="000F1A5C" w:rsidRPr="000F1A5C" w:rsidRDefault="000F1A5C" w:rsidP="000F1A5C">
      <w:pPr>
        <w:pStyle w:val="FootnoteText"/>
        <w:ind w:left="426" w:hanging="426"/>
        <w:rPr>
          <w:i/>
          <w:iCs/>
          <w:color w:val="333333"/>
          <w:shd w:val="clear" w:color="auto" w:fill="FFFFFF"/>
        </w:rPr>
      </w:pPr>
      <w:r>
        <w:rPr>
          <w:rStyle w:val="FootnoteReference"/>
        </w:rPr>
        <w:footnoteRef/>
      </w:r>
      <w:r>
        <w:t xml:space="preserve"> </w:t>
      </w:r>
      <w:r w:rsidRPr="000F1A5C">
        <w:rPr>
          <w:i/>
          <w:iCs/>
          <w:color w:val="333333"/>
          <w:shd w:val="clear" w:color="auto" w:fill="FFFFFF"/>
        </w:rPr>
        <w:t>The year is divided into quarters as follows:</w:t>
      </w:r>
    </w:p>
    <w:p w14:paraId="1966314D" w14:textId="77777777" w:rsidR="000F1A5C" w:rsidRPr="000F1A5C" w:rsidRDefault="000F1A5C" w:rsidP="000F1A5C">
      <w:pPr>
        <w:pStyle w:val="FootnoteText"/>
        <w:ind w:left="426" w:hanging="426"/>
        <w:rPr>
          <w:i/>
          <w:iCs/>
          <w:color w:val="333333"/>
          <w:shd w:val="clear" w:color="auto" w:fill="FFFFFF"/>
        </w:rPr>
      </w:pPr>
      <w:r w:rsidRPr="000F1A5C">
        <w:rPr>
          <w:i/>
          <w:iCs/>
          <w:color w:val="333333"/>
          <w:shd w:val="clear" w:color="auto" w:fill="FFFFFF"/>
        </w:rPr>
        <w:t>Quarter 1 – January, February, March;</w:t>
      </w:r>
    </w:p>
    <w:p w14:paraId="007E0E20" w14:textId="77777777" w:rsidR="000F1A5C" w:rsidRPr="000F1A5C" w:rsidRDefault="000F1A5C" w:rsidP="000F1A5C">
      <w:pPr>
        <w:pStyle w:val="FootnoteText"/>
        <w:ind w:left="426" w:hanging="426"/>
        <w:rPr>
          <w:i/>
          <w:iCs/>
          <w:color w:val="333333"/>
          <w:shd w:val="clear" w:color="auto" w:fill="FFFFFF"/>
        </w:rPr>
      </w:pPr>
      <w:r w:rsidRPr="000F1A5C">
        <w:rPr>
          <w:i/>
          <w:iCs/>
          <w:color w:val="333333"/>
          <w:shd w:val="clear" w:color="auto" w:fill="FFFFFF"/>
        </w:rPr>
        <w:t>Quarter 2 – April, May, June;</w:t>
      </w:r>
    </w:p>
    <w:p w14:paraId="7EF0891C" w14:textId="77777777" w:rsidR="000F1A5C" w:rsidRPr="000F1A5C" w:rsidRDefault="000F1A5C" w:rsidP="000F1A5C">
      <w:pPr>
        <w:pStyle w:val="FootnoteText"/>
        <w:ind w:left="426" w:hanging="426"/>
        <w:rPr>
          <w:i/>
          <w:iCs/>
          <w:color w:val="333333"/>
          <w:shd w:val="clear" w:color="auto" w:fill="FFFFFF"/>
        </w:rPr>
      </w:pPr>
      <w:r w:rsidRPr="000F1A5C">
        <w:rPr>
          <w:i/>
          <w:iCs/>
          <w:color w:val="333333"/>
          <w:shd w:val="clear" w:color="auto" w:fill="FFFFFF"/>
        </w:rPr>
        <w:t>Quarter 3 – July, August, September;</w:t>
      </w:r>
    </w:p>
    <w:p w14:paraId="5DE4EB2B" w14:textId="6CC8ECCF" w:rsidR="000F1A5C" w:rsidRDefault="000F1A5C" w:rsidP="000F1A5C">
      <w:pPr>
        <w:pStyle w:val="FootnoteText"/>
        <w:ind w:left="426" w:hanging="426"/>
      </w:pPr>
      <w:r w:rsidRPr="000F1A5C">
        <w:rPr>
          <w:i/>
          <w:iCs/>
          <w:color w:val="333333"/>
          <w:shd w:val="clear" w:color="auto" w:fill="FFFFFF"/>
        </w:rPr>
        <w:t>Quarter 4 – October, November, December</w:t>
      </w:r>
      <w:r w:rsidRPr="00EE6536">
        <w:rPr>
          <w:i/>
          <w:iCs/>
          <w:color w:val="333333"/>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6759D5"/>
    <w:multiLevelType w:val="hybridMultilevel"/>
    <w:tmpl w:val="F89E72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D031EA0"/>
    <w:multiLevelType w:val="multilevel"/>
    <w:tmpl w:val="C6148D9C"/>
    <w:lvl w:ilvl="0">
      <w:start w:val="1"/>
      <w:numFmt w:val="decimal"/>
      <w:pStyle w:val="Heading1"/>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1440"/>
        </w:tabs>
        <w:ind w:left="1440" w:hanging="720"/>
      </w:pPr>
      <w:rPr>
        <w:rFonts w:cs="Times New Roman" w:hint="default"/>
        <w:b w:val="0"/>
        <w:bCs w:val="0"/>
        <w:sz w:val="28"/>
        <w:szCs w:val="28"/>
      </w:rPr>
    </w:lvl>
    <w:lvl w:ilvl="3">
      <w:start w:val="1"/>
      <w:numFmt w:val="decimal"/>
      <w:pStyle w:val="Heading4"/>
      <w:lvlText w:val="%1.%2.%3.%4."/>
      <w:lvlJc w:val="left"/>
      <w:pPr>
        <w:tabs>
          <w:tab w:val="num" w:pos="1620"/>
        </w:tabs>
        <w:ind w:left="1404" w:hanging="864"/>
      </w:pPr>
      <w:rPr>
        <w:rFonts w:cs="Times New Roman" w:hint="default"/>
        <w:b w:val="0"/>
        <w:bCs w:val="0"/>
        <w:i w:val="0"/>
        <w:iCs w:val="0"/>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num w:numId="1" w16cid:durableId="1223833974">
    <w:abstractNumId w:val="1"/>
  </w:num>
  <w:num w:numId="2" w16cid:durableId="404299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85B"/>
    <w:rsid w:val="00001B9D"/>
    <w:rsid w:val="000330C3"/>
    <w:rsid w:val="00037EC9"/>
    <w:rsid w:val="000832CF"/>
    <w:rsid w:val="00094344"/>
    <w:rsid w:val="000D273E"/>
    <w:rsid w:val="000F1A5C"/>
    <w:rsid w:val="001141D8"/>
    <w:rsid w:val="00135E1A"/>
    <w:rsid w:val="00147C81"/>
    <w:rsid w:val="00157063"/>
    <w:rsid w:val="00177E19"/>
    <w:rsid w:val="00180732"/>
    <w:rsid w:val="00192AB5"/>
    <w:rsid w:val="0019499D"/>
    <w:rsid w:val="001A3C24"/>
    <w:rsid w:val="001B2271"/>
    <w:rsid w:val="001C4F14"/>
    <w:rsid w:val="001E6B13"/>
    <w:rsid w:val="001F1E97"/>
    <w:rsid w:val="00204D03"/>
    <w:rsid w:val="002922F9"/>
    <w:rsid w:val="002B5E42"/>
    <w:rsid w:val="002C774D"/>
    <w:rsid w:val="002C7B0A"/>
    <w:rsid w:val="002D1356"/>
    <w:rsid w:val="00313470"/>
    <w:rsid w:val="0033625E"/>
    <w:rsid w:val="00367A38"/>
    <w:rsid w:val="00391FE4"/>
    <w:rsid w:val="003C72CD"/>
    <w:rsid w:val="003E4CD6"/>
    <w:rsid w:val="00462E26"/>
    <w:rsid w:val="004732DB"/>
    <w:rsid w:val="004A109A"/>
    <w:rsid w:val="004A277A"/>
    <w:rsid w:val="004A6B16"/>
    <w:rsid w:val="004F0035"/>
    <w:rsid w:val="0054285B"/>
    <w:rsid w:val="00543125"/>
    <w:rsid w:val="00571FA3"/>
    <w:rsid w:val="005C62CD"/>
    <w:rsid w:val="005D1CFE"/>
    <w:rsid w:val="00616A87"/>
    <w:rsid w:val="006461EF"/>
    <w:rsid w:val="00655EB8"/>
    <w:rsid w:val="006840CF"/>
    <w:rsid w:val="006C230F"/>
    <w:rsid w:val="006F3BBE"/>
    <w:rsid w:val="00722D7B"/>
    <w:rsid w:val="0073480F"/>
    <w:rsid w:val="00751FC8"/>
    <w:rsid w:val="00761AC6"/>
    <w:rsid w:val="00761FAE"/>
    <w:rsid w:val="00764256"/>
    <w:rsid w:val="00765534"/>
    <w:rsid w:val="007B4BAD"/>
    <w:rsid w:val="007B6FC3"/>
    <w:rsid w:val="007E0A83"/>
    <w:rsid w:val="007E301D"/>
    <w:rsid w:val="007E36F3"/>
    <w:rsid w:val="00826EC1"/>
    <w:rsid w:val="008423D6"/>
    <w:rsid w:val="00845B34"/>
    <w:rsid w:val="008551F7"/>
    <w:rsid w:val="00876420"/>
    <w:rsid w:val="008953B0"/>
    <w:rsid w:val="008D5A48"/>
    <w:rsid w:val="008E0E0E"/>
    <w:rsid w:val="008E4E92"/>
    <w:rsid w:val="008F2DE7"/>
    <w:rsid w:val="00910A7F"/>
    <w:rsid w:val="009368DC"/>
    <w:rsid w:val="009435F0"/>
    <w:rsid w:val="0094762D"/>
    <w:rsid w:val="009476CA"/>
    <w:rsid w:val="00984CDC"/>
    <w:rsid w:val="00986067"/>
    <w:rsid w:val="009E200C"/>
    <w:rsid w:val="00A16598"/>
    <w:rsid w:val="00A6020B"/>
    <w:rsid w:val="00A75108"/>
    <w:rsid w:val="00A84BFB"/>
    <w:rsid w:val="00A9204A"/>
    <w:rsid w:val="00B06B81"/>
    <w:rsid w:val="00B30EB9"/>
    <w:rsid w:val="00BB1BD8"/>
    <w:rsid w:val="00BC4579"/>
    <w:rsid w:val="00C208AC"/>
    <w:rsid w:val="00C24118"/>
    <w:rsid w:val="00C25072"/>
    <w:rsid w:val="00C47360"/>
    <w:rsid w:val="00C63E28"/>
    <w:rsid w:val="00C90FA5"/>
    <w:rsid w:val="00CA5F30"/>
    <w:rsid w:val="00CB689F"/>
    <w:rsid w:val="00CF53FF"/>
    <w:rsid w:val="00D10CC5"/>
    <w:rsid w:val="00D41B42"/>
    <w:rsid w:val="00D703D0"/>
    <w:rsid w:val="00DA44F8"/>
    <w:rsid w:val="00DD7ED5"/>
    <w:rsid w:val="00DE5DB0"/>
    <w:rsid w:val="00E44D9A"/>
    <w:rsid w:val="00E7304B"/>
    <w:rsid w:val="00E731D4"/>
    <w:rsid w:val="00E84FE7"/>
    <w:rsid w:val="00EA2E42"/>
    <w:rsid w:val="00EA32CE"/>
    <w:rsid w:val="00EB7DC0"/>
    <w:rsid w:val="00F04F61"/>
    <w:rsid w:val="00F22EB7"/>
    <w:rsid w:val="00F340B3"/>
    <w:rsid w:val="00F42BD4"/>
    <w:rsid w:val="00F5182E"/>
    <w:rsid w:val="00F80457"/>
    <w:rsid w:val="00F871DF"/>
    <w:rsid w:val="00FA682B"/>
    <w:rsid w:val="00FC3A0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34E32"/>
  <w15:chartTrackingRefBased/>
  <w15:docId w15:val="{EEEBD995-59DF-46B9-B984-100F23A9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285B"/>
    <w:pPr>
      <w:spacing w:after="200" w:line="276" w:lineRule="auto"/>
    </w:pPr>
    <w:rPr>
      <w:kern w:val="0"/>
      <w14:ligatures w14:val="none"/>
    </w:rPr>
  </w:style>
  <w:style w:type="paragraph" w:styleId="Heading1">
    <w:name w:val="heading 1"/>
    <w:aliases w:val="H1,Section Heading,heading1,Antraste 1,h1,Virsraksts 1"/>
    <w:basedOn w:val="Normal"/>
    <w:next w:val="Normal"/>
    <w:link w:val="Heading1Char"/>
    <w:uiPriority w:val="9"/>
    <w:qFormat/>
    <w:rsid w:val="005C62CD"/>
    <w:pPr>
      <w:keepNext/>
      <w:numPr>
        <w:numId w:val="1"/>
      </w:numPr>
      <w:spacing w:before="240" w:after="60" w:line="240" w:lineRule="auto"/>
      <w:outlineLvl w:val="0"/>
    </w:pPr>
    <w:rPr>
      <w:rFonts w:ascii="Times New Roman" w:eastAsia="Times New Roman" w:hAnsi="Times New Roman" w:cs="Times New Roman"/>
      <w:b/>
      <w:bCs/>
      <w:kern w:val="32"/>
      <w:sz w:val="24"/>
      <w:szCs w:val="32"/>
      <w:lang w:val="en-GB"/>
    </w:rPr>
  </w:style>
  <w:style w:type="paragraph" w:styleId="Heading2">
    <w:name w:val="heading 2"/>
    <w:aliases w:val="HD2,Heading 2 Char1,Heading 2 Char Char,Virsraksts 30,HD2 + Not Bold,Right,Left:  0 cm,First line:  0 cm"/>
    <w:basedOn w:val="Normal"/>
    <w:next w:val="Normal"/>
    <w:link w:val="Heading2Char2"/>
    <w:uiPriority w:val="9"/>
    <w:qFormat/>
    <w:rsid w:val="005C62CD"/>
    <w:pPr>
      <w:keepNext/>
      <w:numPr>
        <w:ilvl w:val="1"/>
        <w:numId w:val="1"/>
      </w:numPr>
      <w:spacing w:before="240" w:after="60" w:line="240" w:lineRule="auto"/>
      <w:outlineLvl w:val="1"/>
    </w:pPr>
    <w:rPr>
      <w:rFonts w:ascii="Times New Roman" w:eastAsia="Times New Roman" w:hAnsi="Times New Roman" w:cs="Times New Roman"/>
      <w:caps/>
      <w:sz w:val="24"/>
      <w:lang w:val="en-US"/>
    </w:rPr>
  </w:style>
  <w:style w:type="paragraph" w:styleId="Heading3">
    <w:name w:val="heading 3"/>
    <w:aliases w:val="heading 3 + Indent: Left 0.25 in Char,heading 3 Char,3 Char,E3 Char,Heading 3. Char,H3 Char,h3 Char,l3+toc 3 Char,l3 Char,CT Char,Sub-section Title Char,Heading 3 Char2"/>
    <w:basedOn w:val="Normal"/>
    <w:next w:val="Normal"/>
    <w:link w:val="Heading3Char"/>
    <w:qFormat/>
    <w:rsid w:val="005C62CD"/>
    <w:pPr>
      <w:keepNext/>
      <w:numPr>
        <w:ilvl w:val="2"/>
        <w:numId w:val="1"/>
      </w:numPr>
      <w:spacing w:before="240" w:after="60" w:line="240" w:lineRule="auto"/>
      <w:outlineLvl w:val="2"/>
    </w:pPr>
    <w:rPr>
      <w:rFonts w:ascii="Times New Roman" w:eastAsia="Times New Roman" w:hAnsi="Times New Roman" w:cs="Times New Roman"/>
      <w:b/>
      <w:bCs/>
      <w:sz w:val="26"/>
      <w:szCs w:val="26"/>
      <w:lang w:val="en-GB"/>
    </w:rPr>
  </w:style>
  <w:style w:type="paragraph" w:styleId="Heading4">
    <w:name w:val="heading 4"/>
    <w:basedOn w:val="Normal"/>
    <w:next w:val="Normal"/>
    <w:link w:val="Heading4Char"/>
    <w:qFormat/>
    <w:rsid w:val="005C62CD"/>
    <w:pPr>
      <w:keepNext/>
      <w:numPr>
        <w:ilvl w:val="3"/>
        <w:numId w:val="1"/>
      </w:numPr>
      <w:spacing w:before="240" w:after="60" w:line="240" w:lineRule="auto"/>
      <w:outlineLvl w:val="3"/>
    </w:pPr>
    <w:rPr>
      <w:rFonts w:ascii="Times New Roman" w:eastAsia="Times New Roman" w:hAnsi="Times New Roman" w:cs="Times New Roman"/>
      <w:b/>
      <w:bCs/>
      <w:sz w:val="28"/>
      <w:szCs w:val="28"/>
      <w:lang w:val="en-GB"/>
    </w:rPr>
  </w:style>
  <w:style w:type="paragraph" w:styleId="Heading5">
    <w:name w:val="heading 5"/>
    <w:basedOn w:val="Normal"/>
    <w:next w:val="Normal"/>
    <w:link w:val="Heading5Char"/>
    <w:qFormat/>
    <w:rsid w:val="005C62CD"/>
    <w:pPr>
      <w:numPr>
        <w:ilvl w:val="4"/>
        <w:numId w:val="1"/>
      </w:numPr>
      <w:spacing w:before="240" w:after="60" w:line="240" w:lineRule="auto"/>
      <w:outlineLvl w:val="4"/>
    </w:pPr>
    <w:rPr>
      <w:rFonts w:ascii="Times New Roman" w:eastAsia="Times New Roman" w:hAnsi="Times New Roman" w:cs="Times New Roman"/>
      <w:b/>
      <w:bCs/>
      <w:i/>
      <w:iCs/>
      <w:sz w:val="26"/>
      <w:szCs w:val="26"/>
      <w:lang w:val="en-GB"/>
    </w:rPr>
  </w:style>
  <w:style w:type="paragraph" w:styleId="Heading6">
    <w:name w:val="heading 6"/>
    <w:basedOn w:val="Normal"/>
    <w:next w:val="Normal"/>
    <w:link w:val="Heading6Char"/>
    <w:qFormat/>
    <w:rsid w:val="005C62CD"/>
    <w:pPr>
      <w:numPr>
        <w:ilvl w:val="5"/>
        <w:numId w:val="1"/>
      </w:numPr>
      <w:spacing w:before="240" w:after="60" w:line="240" w:lineRule="auto"/>
      <w:outlineLvl w:val="5"/>
    </w:pPr>
    <w:rPr>
      <w:rFonts w:ascii="Times New Roman" w:eastAsia="Times New Roman" w:hAnsi="Times New Roman" w:cs="Times New Roman"/>
      <w:b/>
      <w:bCs/>
      <w:lang w:val="en-GB"/>
    </w:rPr>
  </w:style>
  <w:style w:type="paragraph" w:styleId="Heading7">
    <w:name w:val="heading 7"/>
    <w:basedOn w:val="Normal"/>
    <w:next w:val="Normal"/>
    <w:link w:val="Heading7Char"/>
    <w:qFormat/>
    <w:rsid w:val="005C62CD"/>
    <w:pPr>
      <w:numPr>
        <w:ilvl w:val="6"/>
        <w:numId w:val="1"/>
      </w:numPr>
      <w:spacing w:before="240" w:after="60" w:line="240" w:lineRule="auto"/>
      <w:outlineLvl w:val="6"/>
    </w:pPr>
    <w:rPr>
      <w:rFonts w:ascii="Times New Roman" w:eastAsia="Times New Roman" w:hAnsi="Times New Roman" w:cs="Times New Roman"/>
      <w:sz w:val="24"/>
      <w:szCs w:val="24"/>
      <w:lang w:val="en-GB"/>
    </w:rPr>
  </w:style>
  <w:style w:type="paragraph" w:styleId="Heading8">
    <w:name w:val="heading 8"/>
    <w:basedOn w:val="Normal"/>
    <w:next w:val="Normal"/>
    <w:link w:val="Heading8Char"/>
    <w:qFormat/>
    <w:rsid w:val="005C62CD"/>
    <w:pPr>
      <w:numPr>
        <w:ilvl w:val="7"/>
        <w:numId w:val="1"/>
      </w:numPr>
      <w:spacing w:before="240" w:after="60" w:line="240" w:lineRule="auto"/>
      <w:outlineLvl w:val="7"/>
    </w:pPr>
    <w:rPr>
      <w:rFonts w:ascii="Times New Roman" w:eastAsia="Times New Roman" w:hAnsi="Times New Roman" w:cs="Times New Roman"/>
      <w:i/>
      <w:iCs/>
      <w:sz w:val="24"/>
      <w:szCs w:val="24"/>
      <w:lang w:val="en-GB"/>
    </w:rPr>
  </w:style>
  <w:style w:type="paragraph" w:styleId="Heading9">
    <w:name w:val="heading 9"/>
    <w:basedOn w:val="Normal"/>
    <w:next w:val="Normal"/>
    <w:link w:val="Heading9Char"/>
    <w:qFormat/>
    <w:rsid w:val="005C62CD"/>
    <w:pPr>
      <w:numPr>
        <w:ilvl w:val="8"/>
        <w:numId w:val="1"/>
      </w:numPr>
      <w:spacing w:before="240" w:after="60" w:line="240" w:lineRule="auto"/>
      <w:outlineLvl w:val="8"/>
    </w:pPr>
    <w:rPr>
      <w:rFonts w:ascii="Arial" w:eastAsia="Times New Roman"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285B"/>
    <w:rPr>
      <w:color w:val="0563C1" w:themeColor="hyperlink"/>
      <w:u w:val="single"/>
    </w:rPr>
  </w:style>
  <w:style w:type="character" w:customStyle="1" w:styleId="Heading1Char">
    <w:name w:val="Heading 1 Char"/>
    <w:aliases w:val="H1 Char,Section Heading Char,heading1 Char,Antraste 1 Char,h1 Char,Virsraksts 1 Char"/>
    <w:basedOn w:val="DefaultParagraphFont"/>
    <w:link w:val="Heading1"/>
    <w:uiPriority w:val="9"/>
    <w:rsid w:val="005C62CD"/>
    <w:rPr>
      <w:rFonts w:ascii="Times New Roman" w:eastAsia="Times New Roman" w:hAnsi="Times New Roman" w:cs="Times New Roman"/>
      <w:b/>
      <w:bCs/>
      <w:kern w:val="32"/>
      <w:sz w:val="24"/>
      <w:szCs w:val="32"/>
      <w:lang w:val="en-GB"/>
      <w14:ligatures w14:val="none"/>
    </w:rPr>
  </w:style>
  <w:style w:type="character" w:customStyle="1" w:styleId="Heading2Char">
    <w:name w:val="Heading 2 Char"/>
    <w:basedOn w:val="DefaultParagraphFont"/>
    <w:uiPriority w:val="9"/>
    <w:semiHidden/>
    <w:rsid w:val="005C62CD"/>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aliases w:val="heading 3 + Indent: Left 0.25 in Char Char,heading 3 Char Char,3 Char Char,E3 Char Char,Heading 3. Char Char,H3 Char Char,h3 Char Char,l3+toc 3 Char Char,l3 Char Char,CT Char Char,Sub-section Title Char Char,Heading 3 Char2 Char"/>
    <w:basedOn w:val="DefaultParagraphFont"/>
    <w:link w:val="Heading3"/>
    <w:rsid w:val="005C62CD"/>
    <w:rPr>
      <w:rFonts w:ascii="Times New Roman" w:eastAsia="Times New Roman" w:hAnsi="Times New Roman" w:cs="Times New Roman"/>
      <w:b/>
      <w:bCs/>
      <w:kern w:val="0"/>
      <w:sz w:val="26"/>
      <w:szCs w:val="26"/>
      <w:lang w:val="en-GB"/>
      <w14:ligatures w14:val="none"/>
    </w:rPr>
  </w:style>
  <w:style w:type="character" w:customStyle="1" w:styleId="Heading4Char">
    <w:name w:val="Heading 4 Char"/>
    <w:basedOn w:val="DefaultParagraphFont"/>
    <w:link w:val="Heading4"/>
    <w:rsid w:val="005C62CD"/>
    <w:rPr>
      <w:rFonts w:ascii="Times New Roman" w:eastAsia="Times New Roman" w:hAnsi="Times New Roman" w:cs="Times New Roman"/>
      <w:b/>
      <w:bCs/>
      <w:kern w:val="0"/>
      <w:sz w:val="28"/>
      <w:szCs w:val="28"/>
      <w:lang w:val="en-GB"/>
      <w14:ligatures w14:val="none"/>
    </w:rPr>
  </w:style>
  <w:style w:type="character" w:customStyle="1" w:styleId="Heading5Char">
    <w:name w:val="Heading 5 Char"/>
    <w:basedOn w:val="DefaultParagraphFont"/>
    <w:link w:val="Heading5"/>
    <w:rsid w:val="005C62CD"/>
    <w:rPr>
      <w:rFonts w:ascii="Times New Roman" w:eastAsia="Times New Roman" w:hAnsi="Times New Roman" w:cs="Times New Roman"/>
      <w:b/>
      <w:bCs/>
      <w:i/>
      <w:iCs/>
      <w:kern w:val="0"/>
      <w:sz w:val="26"/>
      <w:szCs w:val="26"/>
      <w:lang w:val="en-GB"/>
      <w14:ligatures w14:val="none"/>
    </w:rPr>
  </w:style>
  <w:style w:type="character" w:customStyle="1" w:styleId="Heading6Char">
    <w:name w:val="Heading 6 Char"/>
    <w:basedOn w:val="DefaultParagraphFont"/>
    <w:link w:val="Heading6"/>
    <w:rsid w:val="005C62CD"/>
    <w:rPr>
      <w:rFonts w:ascii="Times New Roman" w:eastAsia="Times New Roman" w:hAnsi="Times New Roman" w:cs="Times New Roman"/>
      <w:b/>
      <w:bCs/>
      <w:kern w:val="0"/>
      <w:lang w:val="en-GB"/>
      <w14:ligatures w14:val="none"/>
    </w:rPr>
  </w:style>
  <w:style w:type="character" w:customStyle="1" w:styleId="Heading7Char">
    <w:name w:val="Heading 7 Char"/>
    <w:basedOn w:val="DefaultParagraphFont"/>
    <w:link w:val="Heading7"/>
    <w:rsid w:val="005C62CD"/>
    <w:rPr>
      <w:rFonts w:ascii="Times New Roman" w:eastAsia="Times New Roman" w:hAnsi="Times New Roman" w:cs="Times New Roman"/>
      <w:kern w:val="0"/>
      <w:sz w:val="24"/>
      <w:szCs w:val="24"/>
      <w:lang w:val="en-GB"/>
      <w14:ligatures w14:val="none"/>
    </w:rPr>
  </w:style>
  <w:style w:type="character" w:customStyle="1" w:styleId="Heading8Char">
    <w:name w:val="Heading 8 Char"/>
    <w:basedOn w:val="DefaultParagraphFont"/>
    <w:link w:val="Heading8"/>
    <w:rsid w:val="005C62CD"/>
    <w:rPr>
      <w:rFonts w:ascii="Times New Roman" w:eastAsia="Times New Roman" w:hAnsi="Times New Roman" w:cs="Times New Roman"/>
      <w:i/>
      <w:iCs/>
      <w:kern w:val="0"/>
      <w:sz w:val="24"/>
      <w:szCs w:val="24"/>
      <w:lang w:val="en-GB"/>
      <w14:ligatures w14:val="none"/>
    </w:rPr>
  </w:style>
  <w:style w:type="character" w:customStyle="1" w:styleId="Heading9Char">
    <w:name w:val="Heading 9 Char"/>
    <w:basedOn w:val="DefaultParagraphFont"/>
    <w:link w:val="Heading9"/>
    <w:rsid w:val="005C62CD"/>
    <w:rPr>
      <w:rFonts w:ascii="Arial" w:eastAsia="Times New Roman" w:hAnsi="Arial" w:cs="Times New Roman"/>
      <w:kern w:val="0"/>
      <w:lang w:val="en-GB"/>
      <w14:ligatures w14:val="none"/>
    </w:rPr>
  </w:style>
  <w:style w:type="character" w:customStyle="1" w:styleId="Heading2Char2">
    <w:name w:val="Heading 2 Char2"/>
    <w:aliases w:val="HD2 Char,Heading 2 Char1 Char,Heading 2 Char Char Char,Virsraksts 30 Char,HD2 + Not Bold Char,Right Char,Left:  0 cm Char,First line:  0 cm Char"/>
    <w:basedOn w:val="DefaultParagraphFont"/>
    <w:link w:val="Heading2"/>
    <w:uiPriority w:val="9"/>
    <w:locked/>
    <w:rsid w:val="005C62CD"/>
    <w:rPr>
      <w:rFonts w:ascii="Times New Roman" w:eastAsia="Times New Roman" w:hAnsi="Times New Roman" w:cs="Times New Roman"/>
      <w:caps/>
      <w:kern w:val="0"/>
      <w:sz w:val="24"/>
      <w:lang w:val="en-US"/>
      <w14:ligatures w14:val="none"/>
    </w:rPr>
  </w:style>
  <w:style w:type="character" w:customStyle="1" w:styleId="FootnoteTextChar1">
    <w:name w:val="Footnote Text Char1"/>
    <w:aliases w:val="Footnote Char,Fußnote Char,fn Char,FT Char,ft Char,SD Footnote Text Char,Footnote Text AG Char,Fußnote Char Char Char,Fußnote Char Char Char Char Char Char Char,Char10 Char,Fußnotentext Char Char Char Char"/>
    <w:link w:val="FootnoteText"/>
    <w:locked/>
    <w:rsid w:val="005C62CD"/>
    <w:rPr>
      <w:rFonts w:ascii="Times New Roman" w:hAnsi="Times New Roman"/>
      <w:sz w:val="20"/>
    </w:rPr>
  </w:style>
  <w:style w:type="paragraph" w:styleId="FootnoteText">
    <w:name w:val="footnote text"/>
    <w:aliases w:val="Footnote,Fußnote,fn,FT,ft,SD Footnote Text,Footnote Text AG,Fußnote Char Char,Fußnote Char Char Char Char Char Char,Char10,Fußnotentext Char Char Char,Fußnotentext Char Char Char Char Char Char Char Char Char Char"/>
    <w:basedOn w:val="Normal"/>
    <w:link w:val="FootnoteTextChar1"/>
    <w:uiPriority w:val="99"/>
    <w:qFormat/>
    <w:rsid w:val="005C62CD"/>
    <w:pPr>
      <w:spacing w:after="0" w:line="240" w:lineRule="auto"/>
    </w:pPr>
    <w:rPr>
      <w:rFonts w:ascii="Times New Roman" w:hAnsi="Times New Roman"/>
      <w:kern w:val="2"/>
      <w:sz w:val="20"/>
      <w14:ligatures w14:val="standardContextual"/>
    </w:rPr>
  </w:style>
  <w:style w:type="character" w:customStyle="1" w:styleId="FootnoteTextChar">
    <w:name w:val="Footnote Text Char"/>
    <w:basedOn w:val="DefaultParagraphFont"/>
    <w:uiPriority w:val="99"/>
    <w:semiHidden/>
    <w:rsid w:val="005C62CD"/>
    <w:rPr>
      <w:kern w:val="0"/>
      <w:sz w:val="20"/>
      <w:szCs w:val="20"/>
      <w14:ligatures w14:val="none"/>
    </w:rPr>
  </w:style>
  <w:style w:type="character" w:styleId="FootnoteReference">
    <w:name w:val="footnote reference"/>
    <w:aliases w:val="Footnote symbol,Footnote Reference Number,Footnote Refernece,fr,Footnote Reference Superscript,ftref,BVI fnr,Footnotes refss,SUPERS,Ref,de nota al pie,-E Fußnotenzeichen,Footnote reference number,Times 10 Point,E,number,Footnote sign"/>
    <w:basedOn w:val="DefaultParagraphFont"/>
    <w:link w:val="Char2"/>
    <w:uiPriority w:val="99"/>
    <w:qFormat/>
    <w:rsid w:val="005C62CD"/>
    <w:rPr>
      <w:rFonts w:cs="Times New Roman"/>
      <w:vertAlign w:val="superscript"/>
    </w:rPr>
  </w:style>
  <w:style w:type="table" w:styleId="TableGrid">
    <w:name w:val="Table Grid"/>
    <w:basedOn w:val="TableNormal"/>
    <w:uiPriority w:val="59"/>
    <w:rsid w:val="005C62CD"/>
    <w:pPr>
      <w:spacing w:after="0" w:line="240" w:lineRule="auto"/>
    </w:pPr>
    <w:rPr>
      <w:rFonts w:ascii="Times New Roman" w:eastAsia="Times New Roman"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62CD"/>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v-LV"/>
      <w14:ligatures w14:val="none"/>
    </w:rPr>
  </w:style>
  <w:style w:type="paragraph" w:styleId="NormalIndent">
    <w:name w:val="Normal Indent"/>
    <w:basedOn w:val="Normal"/>
    <w:rsid w:val="005C62CD"/>
    <w:pPr>
      <w:spacing w:after="120" w:line="240" w:lineRule="auto"/>
      <w:ind w:left="1304"/>
    </w:pPr>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rsid w:val="005C62CD"/>
    <w:pPr>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C62CD"/>
    <w:rPr>
      <w:rFonts w:ascii="Courier New" w:eastAsia="Times New Roman" w:hAnsi="Courier New" w:cs="Courier New"/>
      <w:kern w:val="0"/>
      <w:sz w:val="20"/>
      <w:szCs w:val="20"/>
      <w14:ligatures w14:val="none"/>
    </w:rPr>
  </w:style>
  <w:style w:type="paragraph" w:customStyle="1" w:styleId="Char2">
    <w:name w:val="Char2"/>
    <w:basedOn w:val="Normal"/>
    <w:next w:val="Normal"/>
    <w:link w:val="FootnoteReference"/>
    <w:uiPriority w:val="99"/>
    <w:rsid w:val="005C62CD"/>
    <w:pPr>
      <w:spacing w:after="0" w:line="240" w:lineRule="exact"/>
      <w:ind w:firstLine="567"/>
      <w:jc w:val="both"/>
      <w:textAlignment w:val="baseline"/>
    </w:pPr>
    <w:rPr>
      <w:rFonts w:cs="Times New Roman"/>
      <w:kern w:val="2"/>
      <w:vertAlign w:val="superscript"/>
      <w14:ligatures w14:val="standardContextual"/>
    </w:rPr>
  </w:style>
  <w:style w:type="character" w:styleId="FollowedHyperlink">
    <w:name w:val="FollowedHyperlink"/>
    <w:basedOn w:val="DefaultParagraphFont"/>
    <w:uiPriority w:val="99"/>
    <w:semiHidden/>
    <w:unhideWhenUsed/>
    <w:rsid w:val="007E301D"/>
    <w:rPr>
      <w:color w:val="954F72" w:themeColor="followedHyperlink"/>
      <w:u w:val="single"/>
    </w:rPr>
  </w:style>
  <w:style w:type="character" w:styleId="CommentReference">
    <w:name w:val="annotation reference"/>
    <w:basedOn w:val="DefaultParagraphFont"/>
    <w:uiPriority w:val="99"/>
    <w:semiHidden/>
    <w:unhideWhenUsed/>
    <w:rsid w:val="00F340B3"/>
    <w:rPr>
      <w:sz w:val="16"/>
      <w:szCs w:val="16"/>
    </w:rPr>
  </w:style>
  <w:style w:type="paragraph" w:styleId="CommentText">
    <w:name w:val="annotation text"/>
    <w:basedOn w:val="Normal"/>
    <w:link w:val="CommentTextChar"/>
    <w:uiPriority w:val="99"/>
    <w:unhideWhenUsed/>
    <w:rsid w:val="00F340B3"/>
    <w:pPr>
      <w:spacing w:line="240" w:lineRule="auto"/>
    </w:pPr>
    <w:rPr>
      <w:sz w:val="20"/>
      <w:szCs w:val="20"/>
    </w:rPr>
  </w:style>
  <w:style w:type="character" w:customStyle="1" w:styleId="CommentTextChar">
    <w:name w:val="Comment Text Char"/>
    <w:basedOn w:val="DefaultParagraphFont"/>
    <w:link w:val="CommentText"/>
    <w:uiPriority w:val="99"/>
    <w:rsid w:val="00F340B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340B3"/>
    <w:rPr>
      <w:b/>
      <w:bCs/>
    </w:rPr>
  </w:style>
  <w:style w:type="character" w:customStyle="1" w:styleId="CommentSubjectChar">
    <w:name w:val="Comment Subject Char"/>
    <w:basedOn w:val="CommentTextChar"/>
    <w:link w:val="CommentSubject"/>
    <w:uiPriority w:val="99"/>
    <w:semiHidden/>
    <w:rsid w:val="00F340B3"/>
    <w:rPr>
      <w:b/>
      <w:bCs/>
      <w:kern w:val="0"/>
      <w:sz w:val="20"/>
      <w:szCs w:val="20"/>
      <w14:ligatures w14:val="none"/>
    </w:rPr>
  </w:style>
  <w:style w:type="paragraph" w:styleId="Revision">
    <w:name w:val="Revision"/>
    <w:hidden/>
    <w:uiPriority w:val="99"/>
    <w:semiHidden/>
    <w:rsid w:val="00F340B3"/>
    <w:pPr>
      <w:spacing w:after="0" w:line="240" w:lineRule="auto"/>
    </w:pPr>
    <w:rPr>
      <w:kern w:val="0"/>
      <w14:ligatures w14:val="none"/>
    </w:rPr>
  </w:style>
  <w:style w:type="paragraph" w:styleId="ListParagraph">
    <w:name w:val="List Paragraph"/>
    <w:basedOn w:val="Normal"/>
    <w:uiPriority w:val="34"/>
    <w:qFormat/>
    <w:rsid w:val="00F871DF"/>
    <w:pPr>
      <w:ind w:left="720"/>
      <w:contextualSpacing/>
    </w:pPr>
  </w:style>
  <w:style w:type="character" w:styleId="UnresolvedMention">
    <w:name w:val="Unresolved Mention"/>
    <w:basedOn w:val="DefaultParagraphFont"/>
    <w:uiPriority w:val="99"/>
    <w:semiHidden/>
    <w:unhideWhenUsed/>
    <w:rsid w:val="005D1CFE"/>
    <w:rPr>
      <w:color w:val="605E5C"/>
      <w:shd w:val="clear" w:color="auto" w:fill="E1DFDD"/>
    </w:rPr>
  </w:style>
  <w:style w:type="paragraph" w:styleId="Header">
    <w:name w:val="header"/>
    <w:basedOn w:val="Normal"/>
    <w:link w:val="HeaderChar"/>
    <w:uiPriority w:val="99"/>
    <w:semiHidden/>
    <w:unhideWhenUsed/>
    <w:rsid w:val="00192AB5"/>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92AB5"/>
    <w:rPr>
      <w:kern w:val="0"/>
      <w14:ligatures w14:val="none"/>
    </w:rPr>
  </w:style>
  <w:style w:type="paragraph" w:styleId="Footer">
    <w:name w:val="footer"/>
    <w:basedOn w:val="Normal"/>
    <w:link w:val="FooterChar"/>
    <w:uiPriority w:val="99"/>
    <w:semiHidden/>
    <w:unhideWhenUsed/>
    <w:rsid w:val="00192AB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192AB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203">
      <w:bodyDiv w:val="1"/>
      <w:marLeft w:val="0"/>
      <w:marRight w:val="0"/>
      <w:marTop w:val="0"/>
      <w:marBottom w:val="0"/>
      <w:divBdr>
        <w:top w:val="none" w:sz="0" w:space="0" w:color="auto"/>
        <w:left w:val="none" w:sz="0" w:space="0" w:color="auto"/>
        <w:bottom w:val="none" w:sz="0" w:space="0" w:color="auto"/>
        <w:right w:val="none" w:sz="0" w:space="0" w:color="auto"/>
      </w:divBdr>
    </w:div>
    <w:div w:id="153839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stat.gov.lv/pxweb/lv/OSP_PUB/START__VEK__RC__RCB/RCB040c/"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BE3C4BD8464A041A47C76CD648BCADD" ma:contentTypeVersion="0" ma:contentTypeDescription="Izveidot jaunu dokumentu." ma:contentTypeScope="" ma:versionID="706abd79e3b5d125f94e44ca34f77358">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6D0BDD-6ED9-45B2-8DBC-7F8D8FFE9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2005468-B87A-458E-831C-D8866F590033}">
  <ds:schemaRefs>
    <ds:schemaRef ds:uri="http://schemas.microsoft.com/sharepoint/v3/contenttype/forms"/>
  </ds:schemaRefs>
</ds:datastoreItem>
</file>

<file path=customXml/itemProps3.xml><?xml version="1.0" encoding="utf-8"?>
<ds:datastoreItem xmlns:ds="http://schemas.openxmlformats.org/officeDocument/2006/customXml" ds:itemID="{DF7C2778-073D-4FAD-84D7-4B901825D4B7}">
  <ds:schemaRefs>
    <ds:schemaRef ds:uri="http://schemas.openxmlformats.org/officeDocument/2006/bibliography"/>
  </ds:schemaRefs>
</ds:datastoreItem>
</file>

<file path=customXml/itemProps4.xml><?xml version="1.0" encoding="utf-8"?>
<ds:datastoreItem xmlns:ds="http://schemas.openxmlformats.org/officeDocument/2006/customXml" ds:itemID="{8C04CF6C-47E6-4967-BDD7-48FDCEE81A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3373</Words>
  <Characters>1924</Characters>
  <Application>Microsoft Office Word</Application>
  <DocSecurity>2</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Aigars Greitāns</dc:creator>
  <cp:keywords/>
  <dc:description/>
  <cp:lastModifiedBy>Edgars Miezītis</cp:lastModifiedBy>
  <cp:revision>6</cp:revision>
  <dcterms:created xsi:type="dcterms:W3CDTF">2025-02-05T12:06:00Z</dcterms:created>
  <dcterms:modified xsi:type="dcterms:W3CDTF">2025-02-06T14:00:00Z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0x0101007BE3C4BD8464A041A47C76CD648BCADD</vt:lpwstr>
  </property>
</Properties>
</file>