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DFF8" w14:textId="64DCE953" w:rsidR="005F1610" w:rsidRPr="005F1610" w:rsidRDefault="005F1610" w:rsidP="005F1610">
      <w:pPr>
        <w:jc w:val="right"/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Pielikums</w:t>
      </w:r>
      <w:r w:rsidR="00741BCB">
        <w:rPr>
          <w:rFonts w:ascii="Times New Roman" w:hAnsi="Times New Roman" w:cs="Times New Roman"/>
        </w:rPr>
        <w:t xml:space="preserve"> Nr.11</w:t>
      </w:r>
    </w:p>
    <w:p w14:paraId="44FEC57B" w14:textId="22F04252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5F1610">
        <w:rPr>
          <w:rFonts w:ascii="Times New Roman" w:hAnsi="Times New Roman" w:cs="Times New Roman"/>
          <w:b/>
          <w:bCs/>
        </w:rPr>
        <w:t>Kiberdrošības</w:t>
      </w:r>
      <w:proofErr w:type="spellEnd"/>
      <w:r w:rsidRPr="005F1610">
        <w:rPr>
          <w:rFonts w:ascii="Times New Roman" w:hAnsi="Times New Roman" w:cs="Times New Roman"/>
          <w:b/>
          <w:bCs/>
        </w:rPr>
        <w:t xml:space="preserve"> atbilstība un drošības audita prasības</w:t>
      </w:r>
    </w:p>
    <w:p w14:paraId="7CEADF70" w14:textId="0C7DF104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1.1 </w:t>
      </w:r>
      <w:proofErr w:type="spellStart"/>
      <w:r w:rsidRPr="005F1610">
        <w:rPr>
          <w:rFonts w:ascii="Times New Roman" w:hAnsi="Times New Roman" w:cs="Times New Roman"/>
          <w:b/>
          <w:bCs/>
        </w:rPr>
        <w:t>Kiberdrošības</w:t>
      </w:r>
      <w:proofErr w:type="spellEnd"/>
      <w:r w:rsidRPr="005F1610">
        <w:rPr>
          <w:rFonts w:ascii="Times New Roman" w:hAnsi="Times New Roman" w:cs="Times New Roman"/>
          <w:b/>
          <w:bCs/>
        </w:rPr>
        <w:t xml:space="preserve"> standartu ievērošana</w:t>
      </w:r>
    </w:p>
    <w:p w14:paraId="598AD122" w14:textId="77777777" w:rsidR="005F1610" w:rsidRPr="005F1610" w:rsidRDefault="005F1610" w:rsidP="005F1610">
      <w:p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Piegādātājam jānodrošina, ka visi piegādātie elektriskie transportlīdzekļi (ETL), iebūvētās elektroniskās vadības ierīces (EVI), telemātikas ierīces, programmatūras platformas un saistītā uzlādes infrastruktūra atbilst šādiem </w:t>
      </w:r>
      <w:proofErr w:type="spellStart"/>
      <w:r w:rsidRPr="005F1610">
        <w:rPr>
          <w:rFonts w:ascii="Times New Roman" w:hAnsi="Times New Roman" w:cs="Times New Roman"/>
        </w:rPr>
        <w:t>kiberdrošības</w:t>
      </w:r>
      <w:proofErr w:type="spellEnd"/>
      <w:r w:rsidRPr="005F1610">
        <w:rPr>
          <w:rFonts w:ascii="Times New Roman" w:hAnsi="Times New Roman" w:cs="Times New Roman"/>
        </w:rPr>
        <w:t xml:space="preserve"> standartiem:</w:t>
      </w:r>
    </w:p>
    <w:p w14:paraId="3D85F286" w14:textId="77777777" w:rsidR="005F1610" w:rsidRPr="005F1610" w:rsidRDefault="005F1610" w:rsidP="005F161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ISO/SAE 21434:2021 — Ceļu transportlīdzekļu </w:t>
      </w:r>
      <w:proofErr w:type="spellStart"/>
      <w:r w:rsidRPr="005F1610">
        <w:rPr>
          <w:rFonts w:ascii="Times New Roman" w:hAnsi="Times New Roman" w:cs="Times New Roman"/>
        </w:rPr>
        <w:t>kiberdrošības</w:t>
      </w:r>
      <w:proofErr w:type="spellEnd"/>
      <w:r w:rsidRPr="005F1610">
        <w:rPr>
          <w:rFonts w:ascii="Times New Roman" w:hAnsi="Times New Roman" w:cs="Times New Roman"/>
        </w:rPr>
        <w:t xml:space="preserve"> inženierija;</w:t>
      </w:r>
    </w:p>
    <w:p w14:paraId="56B5CB1B" w14:textId="77777777" w:rsidR="005F1610" w:rsidRPr="005F1610" w:rsidRDefault="005F1610" w:rsidP="005F161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ETSI EN 303 645 — </w:t>
      </w:r>
      <w:proofErr w:type="spellStart"/>
      <w:r w:rsidRPr="005F1610">
        <w:rPr>
          <w:rFonts w:ascii="Times New Roman" w:hAnsi="Times New Roman" w:cs="Times New Roman"/>
        </w:rPr>
        <w:t>Kiberdrošība</w:t>
      </w:r>
      <w:proofErr w:type="spellEnd"/>
      <w:r w:rsidRPr="005F1610">
        <w:rPr>
          <w:rFonts w:ascii="Times New Roman" w:hAnsi="Times New Roman" w:cs="Times New Roman"/>
        </w:rPr>
        <w:t xml:space="preserve"> patērētāju lietu interneta ierīcēm;</w:t>
      </w:r>
    </w:p>
    <w:p w14:paraId="173DAF24" w14:textId="5B41E08E" w:rsidR="005F1610" w:rsidRDefault="00C53712" w:rsidP="005F161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C2387" wp14:editId="40ADE58B">
                <wp:simplePos x="0" y="0"/>
                <wp:positionH relativeFrom="column">
                  <wp:posOffset>-79513</wp:posOffset>
                </wp:positionH>
                <wp:positionV relativeFrom="paragraph">
                  <wp:posOffset>521390</wp:posOffset>
                </wp:positionV>
                <wp:extent cx="5229225" cy="2619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9F93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2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5pt;margin-top:41.05pt;width:411.75pt;height:20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v9EAIAACA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">
                <v:textbox>
                  <w:txbxContent>
                    <w:p w14:paraId="426E9F93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 xml:space="preserve">Attiecīgās ANO EHK (UNECE) WP.29 </w:t>
      </w:r>
      <w:proofErr w:type="spellStart"/>
      <w:r w:rsidR="005F1610" w:rsidRPr="005F1610">
        <w:rPr>
          <w:rFonts w:ascii="Times New Roman" w:hAnsi="Times New Roman" w:cs="Times New Roman"/>
        </w:rPr>
        <w:t>kiberdrošības</w:t>
      </w:r>
      <w:proofErr w:type="spellEnd"/>
      <w:r w:rsidR="005F1610" w:rsidRPr="005F1610">
        <w:rPr>
          <w:rFonts w:ascii="Times New Roman" w:hAnsi="Times New Roman" w:cs="Times New Roman"/>
        </w:rPr>
        <w:t xml:space="preserve"> regulas (Regula Nr. 155) prasības.</w:t>
      </w:r>
    </w:p>
    <w:p w14:paraId="3474B3DF" w14:textId="0800969F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>1.2 Drošības audit</w:t>
      </w:r>
      <w:r w:rsidR="00387EF1">
        <w:rPr>
          <w:rFonts w:ascii="Times New Roman" w:hAnsi="Times New Roman" w:cs="Times New Roman"/>
          <w:b/>
          <w:bCs/>
        </w:rPr>
        <w:t>i</w:t>
      </w:r>
    </w:p>
    <w:p w14:paraId="7C2549E6" w14:textId="05CC58FF" w:rsidR="005F1610" w:rsidRPr="005F1610" w:rsidRDefault="005F1610" w:rsidP="005F161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Piegādātājam jāiesniedz pasūtītājam </w:t>
      </w:r>
      <w:proofErr w:type="spellStart"/>
      <w:r w:rsidRPr="005F1610">
        <w:rPr>
          <w:rFonts w:ascii="Times New Roman" w:hAnsi="Times New Roman" w:cs="Times New Roman"/>
        </w:rPr>
        <w:t>kiberdrošības</w:t>
      </w:r>
      <w:proofErr w:type="spellEnd"/>
      <w:r w:rsidRPr="005F1610">
        <w:rPr>
          <w:rFonts w:ascii="Times New Roman" w:hAnsi="Times New Roman" w:cs="Times New Roman"/>
        </w:rPr>
        <w:t xml:space="preserve"> audita ziņojums, kas apstiprina atbilstību minētajiem standartiem.</w:t>
      </w:r>
    </w:p>
    <w:p w14:paraId="3D90FF3B" w14:textId="68266672" w:rsidR="005F1610" w:rsidRDefault="00C53712" w:rsidP="005F161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EF41B" wp14:editId="39354016">
                <wp:simplePos x="0" y="0"/>
                <wp:positionH relativeFrom="column">
                  <wp:posOffset>25317</wp:posOffset>
                </wp:positionH>
                <wp:positionV relativeFrom="paragraph">
                  <wp:posOffset>332740</wp:posOffset>
                </wp:positionV>
                <wp:extent cx="5229225" cy="2249805"/>
                <wp:effectExtent l="0" t="0" r="28575" b="17145"/>
                <wp:wrapSquare wrapText="bothSides"/>
                <wp:docPr id="176489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E9B04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F41B" id="_x0000_s1027" type="#_x0000_t202" style="position:absolute;left:0;text-align:left;margin-left:2pt;margin-top:26.2pt;width:411.75pt;height:17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">
                <v:textbox>
                  <w:txbxContent>
                    <w:p w14:paraId="5F4E9B04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>Auditu veic sertificēta trešā puse.</w:t>
      </w:r>
    </w:p>
    <w:p w14:paraId="521BC085" w14:textId="329A75D0" w:rsidR="005F1610" w:rsidRPr="00DD7B6D" w:rsidRDefault="003D1ACC" w:rsidP="00DD7B6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</w:rPr>
      </w:pPr>
      <w:r w:rsidRPr="00DD7B6D">
        <w:rPr>
          <w:rFonts w:ascii="Times New Roman" w:hAnsi="Times New Roman" w:cs="Times New Roman"/>
          <w:b/>
          <w:bCs/>
        </w:rPr>
        <w:t>Ziņošana par i</w:t>
      </w:r>
      <w:r w:rsidR="005F1610" w:rsidRPr="00DD7B6D">
        <w:rPr>
          <w:rFonts w:ascii="Times New Roman" w:hAnsi="Times New Roman" w:cs="Times New Roman"/>
          <w:b/>
          <w:bCs/>
        </w:rPr>
        <w:t>ncident</w:t>
      </w:r>
      <w:r w:rsidRPr="00DD7B6D">
        <w:rPr>
          <w:rFonts w:ascii="Times New Roman" w:hAnsi="Times New Roman" w:cs="Times New Roman"/>
          <w:b/>
          <w:bCs/>
        </w:rPr>
        <w:t>iem</w:t>
      </w:r>
      <w:r w:rsidR="005F1610" w:rsidRPr="00DD7B6D">
        <w:rPr>
          <w:rFonts w:ascii="Times New Roman" w:hAnsi="Times New Roman" w:cs="Times New Roman"/>
          <w:b/>
          <w:bCs/>
        </w:rPr>
        <w:t xml:space="preserve"> </w:t>
      </w:r>
    </w:p>
    <w:p w14:paraId="0951CB67" w14:textId="0F42E8D4" w:rsidR="005F1610" w:rsidRPr="00DD7B6D" w:rsidRDefault="005F1610" w:rsidP="00DD7B6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Par jebkuru drošības incidentu, kas saistīts ar ETL sistēmām, piegādātājam jāziņo pasūtītājam 24 stundu laikā pēc incidenta atklāšanas.</w:t>
      </w:r>
      <w:r w:rsidR="00DD7B6D">
        <w:rPr>
          <w:rFonts w:ascii="Times New Roman" w:hAnsi="Times New Roman" w:cs="Times New Roman"/>
        </w:rPr>
        <w:t xml:space="preserve"> </w:t>
      </w:r>
      <w:r w:rsidRPr="00DD7B6D">
        <w:rPr>
          <w:rFonts w:ascii="Times New Roman" w:hAnsi="Times New Roman" w:cs="Times New Roman"/>
        </w:rPr>
        <w:t xml:space="preserve">Detalizēts </w:t>
      </w:r>
      <w:r w:rsidR="00666FD7" w:rsidRPr="00DD7B6D">
        <w:rPr>
          <w:rFonts w:ascii="Times New Roman" w:hAnsi="Times New Roman" w:cs="Times New Roman"/>
        </w:rPr>
        <w:t xml:space="preserve">drošības </w:t>
      </w:r>
      <w:r w:rsidRPr="00DD7B6D">
        <w:rPr>
          <w:rFonts w:ascii="Times New Roman" w:hAnsi="Times New Roman" w:cs="Times New Roman"/>
        </w:rPr>
        <w:t>incidenta ziņojums jāiesniedz 5 darba dienu laikā.</w:t>
      </w:r>
    </w:p>
    <w:p w14:paraId="65AB3470" w14:textId="47603C23" w:rsidR="00666FD7" w:rsidRDefault="00C53712" w:rsidP="005F161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C80203" wp14:editId="15A31EB6">
                <wp:simplePos x="0" y="0"/>
                <wp:positionH relativeFrom="column">
                  <wp:posOffset>0</wp:posOffset>
                </wp:positionH>
                <wp:positionV relativeFrom="paragraph">
                  <wp:posOffset>811420</wp:posOffset>
                </wp:positionV>
                <wp:extent cx="5229225" cy="2619375"/>
                <wp:effectExtent l="0" t="0" r="28575" b="28575"/>
                <wp:wrapSquare wrapText="bothSides"/>
                <wp:docPr id="1326598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5184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0203" id="_x0000_s1028" type="#_x0000_t202" style="position:absolute;left:0;text-align:left;margin-left:0;margin-top:63.9pt;width:411.75pt;height:2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">
                <v:textbox>
                  <w:txbxContent>
                    <w:p w14:paraId="7E935184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FD7">
        <w:rPr>
          <w:rFonts w:ascii="Times New Roman" w:hAnsi="Times New Roman" w:cs="Times New Roman"/>
        </w:rPr>
        <w:t>Par personas datu aizsardzības incidentiem piegādātājam jāziņo nekavējoties, bet ne vēlāk kā 24 stundu laikā pēc incidenta atklāšanas, ziņojumā norādot visu informāciju, kas saistīta ar incidentu</w:t>
      </w:r>
    </w:p>
    <w:p w14:paraId="247383C8" w14:textId="10A28F4D" w:rsidR="00C53712" w:rsidRPr="005F1610" w:rsidRDefault="00C53712" w:rsidP="00C53712">
      <w:pPr>
        <w:ind w:left="720"/>
        <w:rPr>
          <w:rFonts w:ascii="Times New Roman" w:hAnsi="Times New Roman" w:cs="Times New Roman"/>
        </w:rPr>
      </w:pPr>
    </w:p>
    <w:p w14:paraId="21F4EF75" w14:textId="77777777" w:rsidR="005F1610" w:rsidRPr="005F1610" w:rsidRDefault="00C53712" w:rsidP="005F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EE0F355">
          <v:rect id="_x0000_i1025" style="width:0;height:1.5pt" o:hralign="center" o:hrstd="t" o:hr="t" fillcolor="#a0a0a0" stroked="f"/>
        </w:pict>
      </w:r>
    </w:p>
    <w:p w14:paraId="4C932874" w14:textId="33B40F5C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2.  </w:t>
      </w:r>
      <w:r w:rsidR="00F66BA5">
        <w:rPr>
          <w:rFonts w:ascii="Times New Roman" w:hAnsi="Times New Roman" w:cs="Times New Roman"/>
          <w:b/>
          <w:bCs/>
        </w:rPr>
        <w:t>Personas d</w:t>
      </w:r>
      <w:r w:rsidRPr="005F1610">
        <w:rPr>
          <w:rFonts w:ascii="Times New Roman" w:hAnsi="Times New Roman" w:cs="Times New Roman"/>
          <w:b/>
          <w:bCs/>
        </w:rPr>
        <w:t>atu aizsardzība</w:t>
      </w:r>
    </w:p>
    <w:p w14:paraId="4483D8E2" w14:textId="1DAB7992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2.1 Atbilstība </w:t>
      </w:r>
      <w:r w:rsidR="00F66BA5">
        <w:rPr>
          <w:rFonts w:ascii="Times New Roman" w:hAnsi="Times New Roman" w:cs="Times New Roman"/>
          <w:b/>
          <w:bCs/>
        </w:rPr>
        <w:t xml:space="preserve">personas </w:t>
      </w:r>
      <w:r w:rsidRPr="005F1610">
        <w:rPr>
          <w:rFonts w:ascii="Times New Roman" w:hAnsi="Times New Roman" w:cs="Times New Roman"/>
          <w:b/>
          <w:bCs/>
        </w:rPr>
        <w:t xml:space="preserve">datu aizsardzības </w:t>
      </w:r>
      <w:r w:rsidR="004A3E83">
        <w:rPr>
          <w:rFonts w:ascii="Times New Roman" w:hAnsi="Times New Roman" w:cs="Times New Roman"/>
          <w:b/>
          <w:bCs/>
        </w:rPr>
        <w:t xml:space="preserve">normatīvajiem </w:t>
      </w:r>
      <w:r w:rsidR="00666FD7">
        <w:rPr>
          <w:rFonts w:ascii="Times New Roman" w:hAnsi="Times New Roman" w:cs="Times New Roman"/>
          <w:b/>
          <w:bCs/>
        </w:rPr>
        <w:t>aktiem</w:t>
      </w:r>
    </w:p>
    <w:p w14:paraId="112441C7" w14:textId="44C4916F" w:rsidR="005F1610" w:rsidRPr="005F1610" w:rsidRDefault="005F1610" w:rsidP="005F1610">
      <w:p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Piegādātājam jānodrošina </w:t>
      </w:r>
      <w:r w:rsidR="004A3E83">
        <w:rPr>
          <w:rFonts w:ascii="Times New Roman" w:hAnsi="Times New Roman" w:cs="Times New Roman"/>
        </w:rPr>
        <w:t xml:space="preserve">personas </w:t>
      </w:r>
      <w:r w:rsidRPr="005F1610">
        <w:rPr>
          <w:rFonts w:ascii="Times New Roman" w:hAnsi="Times New Roman" w:cs="Times New Roman"/>
        </w:rPr>
        <w:t>datu apstrāde saskaņā ar:</w:t>
      </w:r>
    </w:p>
    <w:p w14:paraId="36FC2372" w14:textId="77777777" w:rsidR="005F1610" w:rsidRPr="005F1610" w:rsidRDefault="005F1610" w:rsidP="005F161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Eiropas Parlamenta un Padomes Regulu (ES) 2016/679 (Vispārīgā datu aizsardzības regula — GDPR);</w:t>
      </w:r>
    </w:p>
    <w:p w14:paraId="01E89014" w14:textId="44F5DCAA" w:rsidR="005F1610" w:rsidRDefault="0018045D" w:rsidP="005F161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Fizisko p</w:t>
      </w:r>
      <w:r w:rsidR="004A3E83">
        <w:rPr>
          <w:rFonts w:ascii="Times New Roman" w:hAnsi="Times New Roman" w:cs="Times New Roman"/>
        </w:rPr>
        <w:t>erson</w:t>
      </w:r>
      <w:r>
        <w:rPr>
          <w:rFonts w:ascii="Times New Roman" w:hAnsi="Times New Roman" w:cs="Times New Roman"/>
        </w:rPr>
        <w:t>u</w:t>
      </w:r>
      <w:r w:rsidR="004A3E83">
        <w:rPr>
          <w:rFonts w:ascii="Times New Roman" w:hAnsi="Times New Roman" w:cs="Times New Roman"/>
        </w:rPr>
        <w:t xml:space="preserve"> </w:t>
      </w:r>
      <w:r w:rsidR="005F1610" w:rsidRPr="005F1610">
        <w:rPr>
          <w:rFonts w:ascii="Times New Roman" w:hAnsi="Times New Roman" w:cs="Times New Roman"/>
        </w:rPr>
        <w:t xml:space="preserve">datu </w:t>
      </w:r>
      <w:r w:rsidR="004A3E83">
        <w:rPr>
          <w:rFonts w:ascii="Times New Roman" w:hAnsi="Times New Roman" w:cs="Times New Roman"/>
        </w:rPr>
        <w:t xml:space="preserve">apstrādes </w:t>
      </w:r>
      <w:r w:rsidR="005F1610" w:rsidRPr="005F1610">
        <w:rPr>
          <w:rFonts w:ascii="Times New Roman" w:hAnsi="Times New Roman" w:cs="Times New Roman"/>
        </w:rPr>
        <w:t>likum</w:t>
      </w:r>
      <w:r>
        <w:rPr>
          <w:rFonts w:ascii="Times New Roman" w:hAnsi="Times New Roman" w:cs="Times New Roman"/>
        </w:rPr>
        <w:t>u</w:t>
      </w:r>
      <w:r w:rsidR="005F1610" w:rsidRPr="005F1610">
        <w:rPr>
          <w:rFonts w:ascii="Times New Roman" w:hAnsi="Times New Roman" w:cs="Times New Roman"/>
        </w:rPr>
        <w:t>.</w:t>
      </w:r>
    </w:p>
    <w:p w14:paraId="692252D2" w14:textId="36A26DD2" w:rsidR="00666FD7" w:rsidRDefault="00666FD7" w:rsidP="005F161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citiem normatīvajiem aktiem, kas regulē personas datu apstrādi un aizsardzību</w:t>
      </w:r>
    </w:p>
    <w:p w14:paraId="7BD5051B" w14:textId="04FBDEFF" w:rsidR="00C53712" w:rsidRPr="005F1610" w:rsidRDefault="00C53712" w:rsidP="00C53712">
      <w:pPr>
        <w:ind w:left="720"/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A68FF6" wp14:editId="09EDBA78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229225" cy="2619375"/>
                <wp:effectExtent l="0" t="0" r="28575" b="28575"/>
                <wp:wrapSquare wrapText="bothSides"/>
                <wp:docPr id="1503223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03D8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8FF6" id="_x0000_s1029" type="#_x0000_t202" style="position:absolute;left:0;text-align:left;margin-left:0;margin-top:27.4pt;width:411.75pt;height:20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fFAIAACcEAAAOAAAAZHJzL2Uyb0RvYy54bWysU9tu2zAMfR+wfxD0vjhxk7Yx4hRdugwD&#10;ugvQ7QNkWY6FyaJGKbG7rx+luGl2wR6G6UEgReqQPCRXN0Nn2EGh12BLPptMOVNWQq3truRfPm9f&#10;XXP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">
                <v:textbox>
                  <w:txbxContent>
                    <w:p w14:paraId="45D503D8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C0391" w14:textId="75C91763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2.2 </w:t>
      </w:r>
      <w:r w:rsidR="00F66BA5">
        <w:rPr>
          <w:rFonts w:ascii="Times New Roman" w:hAnsi="Times New Roman" w:cs="Times New Roman"/>
          <w:b/>
          <w:bCs/>
        </w:rPr>
        <w:t>Personas d</w:t>
      </w:r>
      <w:r w:rsidRPr="005F1610">
        <w:rPr>
          <w:rFonts w:ascii="Times New Roman" w:hAnsi="Times New Roman" w:cs="Times New Roman"/>
          <w:b/>
          <w:bCs/>
        </w:rPr>
        <w:t xml:space="preserve">atu </w:t>
      </w:r>
      <w:r w:rsidR="00F66BA5">
        <w:rPr>
          <w:rFonts w:ascii="Times New Roman" w:hAnsi="Times New Roman" w:cs="Times New Roman"/>
          <w:b/>
          <w:bCs/>
        </w:rPr>
        <w:t>apstrādes vieta</w:t>
      </w:r>
    </w:p>
    <w:p w14:paraId="6651A346" w14:textId="67D75479" w:rsidR="005F1610" w:rsidRPr="005F1610" w:rsidRDefault="00F66BA5" w:rsidP="005F1610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Personas datu apstrāde </w:t>
      </w:r>
      <w:r w:rsidR="005F1610" w:rsidRPr="005F1610">
        <w:rPr>
          <w:rFonts w:ascii="Times New Roman" w:hAnsi="Times New Roman" w:cs="Times New Roman"/>
        </w:rPr>
        <w:t xml:space="preserve">ETL sistēmās un lietojumprogrammās </w:t>
      </w:r>
      <w:r>
        <w:rPr>
          <w:rFonts w:ascii="Times New Roman" w:hAnsi="Times New Roman" w:cs="Times New Roman"/>
        </w:rPr>
        <w:t xml:space="preserve">notiek </w:t>
      </w:r>
      <w:r w:rsidR="005F1610" w:rsidRPr="005F1610">
        <w:rPr>
          <w:rFonts w:ascii="Times New Roman" w:hAnsi="Times New Roman" w:cs="Times New Roman"/>
        </w:rPr>
        <w:t>Eiropas Ekonomikas zonā (EEZ).</w:t>
      </w:r>
    </w:p>
    <w:p w14:paraId="64F19DDA" w14:textId="524C949D" w:rsidR="005F1610" w:rsidRDefault="00C53712" w:rsidP="005F161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39D4BE" wp14:editId="1A089F24">
                <wp:simplePos x="0" y="0"/>
                <wp:positionH relativeFrom="column">
                  <wp:posOffset>0</wp:posOffset>
                </wp:positionH>
                <wp:positionV relativeFrom="paragraph">
                  <wp:posOffset>600903</wp:posOffset>
                </wp:positionV>
                <wp:extent cx="5229225" cy="2619375"/>
                <wp:effectExtent l="0" t="0" r="28575" b="28575"/>
                <wp:wrapSquare wrapText="bothSides"/>
                <wp:docPr id="1748770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FAED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D4BE" id="_x0000_s1030" type="#_x0000_t202" style="position:absolute;left:0;text-align:left;margin-left:0;margin-top:47.3pt;width:411.75pt;height:20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OxFAIAACc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">
                <v:textbox>
                  <w:txbxContent>
                    <w:p w14:paraId="1F70FAED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 xml:space="preserve">Datu </w:t>
      </w:r>
      <w:r w:rsidR="00F66BA5">
        <w:rPr>
          <w:rFonts w:ascii="Times New Roman" w:hAnsi="Times New Roman" w:cs="Times New Roman"/>
        </w:rPr>
        <w:t>apstrāde</w:t>
      </w:r>
      <w:r w:rsidR="00F66BA5" w:rsidRPr="005F1610">
        <w:rPr>
          <w:rFonts w:ascii="Times New Roman" w:hAnsi="Times New Roman" w:cs="Times New Roman"/>
        </w:rPr>
        <w:t xml:space="preserve"> </w:t>
      </w:r>
      <w:r w:rsidR="005F1610" w:rsidRPr="005F1610">
        <w:rPr>
          <w:rFonts w:ascii="Times New Roman" w:hAnsi="Times New Roman" w:cs="Times New Roman"/>
        </w:rPr>
        <w:t>ārpus EEZ ir atļauta tikai ar pasūtītāja rakstisku atļauju un saskaņā ar GDPR 46. panta prasībām.</w:t>
      </w:r>
    </w:p>
    <w:p w14:paraId="1CFC8B19" w14:textId="3C70E6A1" w:rsidR="00C53712" w:rsidRPr="005F1610" w:rsidRDefault="00C53712" w:rsidP="00C53712">
      <w:pPr>
        <w:ind w:left="720"/>
        <w:rPr>
          <w:rFonts w:ascii="Times New Roman" w:hAnsi="Times New Roman" w:cs="Times New Roman"/>
        </w:rPr>
      </w:pPr>
    </w:p>
    <w:p w14:paraId="2441A3D7" w14:textId="296630DE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2.3 </w:t>
      </w:r>
      <w:r w:rsidR="00F66BA5">
        <w:rPr>
          <w:rFonts w:ascii="Times New Roman" w:hAnsi="Times New Roman" w:cs="Times New Roman"/>
          <w:b/>
          <w:bCs/>
        </w:rPr>
        <w:t>Personas d</w:t>
      </w:r>
      <w:r w:rsidRPr="005F1610">
        <w:rPr>
          <w:rFonts w:ascii="Times New Roman" w:hAnsi="Times New Roman" w:cs="Times New Roman"/>
          <w:b/>
          <w:bCs/>
        </w:rPr>
        <w:t>atu plūsmas dokumentācija</w:t>
      </w:r>
    </w:p>
    <w:p w14:paraId="05373B50" w14:textId="77777777" w:rsidR="005F1610" w:rsidRPr="005F1610" w:rsidRDefault="005F1610" w:rsidP="005F1610">
      <w:p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Piegādātājam jāiesniedz datu plūsmas karte, kurā skaidri norādīti:</w:t>
      </w:r>
    </w:p>
    <w:p w14:paraId="32EB1520" w14:textId="77777777" w:rsidR="005F1610" w:rsidRPr="005F1610" w:rsidRDefault="005F1610" w:rsidP="005F161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Savāktie datu veidi;</w:t>
      </w:r>
    </w:p>
    <w:p w14:paraId="7F9634C7" w14:textId="77777777" w:rsidR="005F1610" w:rsidRPr="005F1610" w:rsidRDefault="005F1610" w:rsidP="005F161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Datu glabāšanas un pārsūtīšanas punkti;</w:t>
      </w:r>
    </w:p>
    <w:p w14:paraId="4073B36C" w14:textId="50A5E1B3" w:rsidR="005F1610" w:rsidRPr="005F1610" w:rsidRDefault="005F1610" w:rsidP="005F161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Trešo personu </w:t>
      </w:r>
      <w:r w:rsidR="00DD7B6D">
        <w:rPr>
          <w:rFonts w:ascii="Times New Roman" w:hAnsi="Times New Roman" w:cs="Times New Roman"/>
        </w:rPr>
        <w:t xml:space="preserve">un </w:t>
      </w:r>
      <w:proofErr w:type="spellStart"/>
      <w:r w:rsidR="00DD7B6D">
        <w:rPr>
          <w:rFonts w:ascii="Times New Roman" w:hAnsi="Times New Roman" w:cs="Times New Roman"/>
        </w:rPr>
        <w:t>apakšapstrādātāju</w:t>
      </w:r>
      <w:proofErr w:type="spellEnd"/>
      <w:r w:rsidR="00DD7B6D">
        <w:rPr>
          <w:rFonts w:ascii="Times New Roman" w:hAnsi="Times New Roman" w:cs="Times New Roman"/>
        </w:rPr>
        <w:t xml:space="preserve"> (apakšuzņēmēju) </w:t>
      </w:r>
      <w:r w:rsidRPr="005F1610">
        <w:rPr>
          <w:rFonts w:ascii="Times New Roman" w:hAnsi="Times New Roman" w:cs="Times New Roman"/>
        </w:rPr>
        <w:t>piekļuve un lomas;</w:t>
      </w:r>
    </w:p>
    <w:p w14:paraId="31B71D43" w14:textId="3D1802FB" w:rsidR="005F1610" w:rsidRDefault="00C53712" w:rsidP="005F161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3330FD" wp14:editId="63A6FB30">
                <wp:simplePos x="0" y="0"/>
                <wp:positionH relativeFrom="column">
                  <wp:posOffset>0</wp:posOffset>
                </wp:positionH>
                <wp:positionV relativeFrom="paragraph">
                  <wp:posOffset>389421</wp:posOffset>
                </wp:positionV>
                <wp:extent cx="5229225" cy="2619375"/>
                <wp:effectExtent l="0" t="0" r="28575" b="28575"/>
                <wp:wrapSquare wrapText="bothSides"/>
                <wp:docPr id="1597934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F6D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30FD" id="_x0000_s1031" type="#_x0000_t202" style="position:absolute;left:0;text-align:left;margin-left:0;margin-top:30.65pt;width:411.75pt;height:20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">
                <v:textbox>
                  <w:txbxContent>
                    <w:p w14:paraId="6C59CF6D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>Datu glabāšanas un dzēšanas politikas.</w:t>
      </w:r>
    </w:p>
    <w:p w14:paraId="745970E5" w14:textId="27C49F17" w:rsidR="00C53712" w:rsidRPr="005F1610" w:rsidRDefault="00C53712" w:rsidP="00C53712">
      <w:pPr>
        <w:ind w:left="720"/>
        <w:rPr>
          <w:rFonts w:ascii="Times New Roman" w:hAnsi="Times New Roman" w:cs="Times New Roman"/>
        </w:rPr>
      </w:pPr>
    </w:p>
    <w:p w14:paraId="58EA63D0" w14:textId="506D8592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2.4 </w:t>
      </w:r>
      <w:r w:rsidR="00F66BA5">
        <w:rPr>
          <w:rFonts w:ascii="Times New Roman" w:hAnsi="Times New Roman" w:cs="Times New Roman"/>
          <w:b/>
          <w:bCs/>
        </w:rPr>
        <w:t>Personas d</w:t>
      </w:r>
      <w:r w:rsidRPr="005F1610">
        <w:rPr>
          <w:rFonts w:ascii="Times New Roman" w:hAnsi="Times New Roman" w:cs="Times New Roman"/>
          <w:b/>
          <w:bCs/>
        </w:rPr>
        <w:t>atu drošības pasākumi</w:t>
      </w:r>
    </w:p>
    <w:p w14:paraId="3303FF8D" w14:textId="77777777" w:rsidR="005F1610" w:rsidRPr="005F1610" w:rsidRDefault="005F1610" w:rsidP="005F161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Dati jāšifrē, izmantojot AES-256 vai augstāku standartu un TLS 1.2 vai 1.3 protokolus.</w:t>
      </w:r>
    </w:p>
    <w:p w14:paraId="3B6F87A9" w14:textId="583D2FD1" w:rsidR="005F1610" w:rsidRDefault="00C53712" w:rsidP="005F161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917021" wp14:editId="53FC7190">
                <wp:simplePos x="0" y="0"/>
                <wp:positionH relativeFrom="column">
                  <wp:posOffset>0</wp:posOffset>
                </wp:positionH>
                <wp:positionV relativeFrom="paragraph">
                  <wp:posOffset>632708</wp:posOffset>
                </wp:positionV>
                <wp:extent cx="5229225" cy="2619375"/>
                <wp:effectExtent l="0" t="0" r="28575" b="28575"/>
                <wp:wrapSquare wrapText="bothSides"/>
                <wp:docPr id="104957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F605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7021" id="_x0000_s1032" type="#_x0000_t202" style="position:absolute;left:0;text-align:left;margin-left:0;margin-top:49.8pt;width:411.75pt;height:20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">
                <v:textbox>
                  <w:txbxContent>
                    <w:p w14:paraId="3789F605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 xml:space="preserve">Visām </w:t>
      </w:r>
      <w:proofErr w:type="spellStart"/>
      <w:r w:rsidR="005F1610" w:rsidRPr="005F1610">
        <w:rPr>
          <w:rFonts w:ascii="Times New Roman" w:hAnsi="Times New Roman" w:cs="Times New Roman"/>
        </w:rPr>
        <w:t>mākoņpakalpojumu</w:t>
      </w:r>
      <w:proofErr w:type="spellEnd"/>
      <w:r w:rsidR="005F1610" w:rsidRPr="005F1610">
        <w:rPr>
          <w:rFonts w:ascii="Times New Roman" w:hAnsi="Times New Roman" w:cs="Times New Roman"/>
        </w:rPr>
        <w:t xml:space="preserve"> un lietojumprogrammu piekļuves sistēmām jābūt aprīkotām ar drošu autentifikāciju (piemēram, </w:t>
      </w:r>
      <w:proofErr w:type="spellStart"/>
      <w:r w:rsidR="005F1610" w:rsidRPr="005F1610">
        <w:rPr>
          <w:rFonts w:ascii="Times New Roman" w:hAnsi="Times New Roman" w:cs="Times New Roman"/>
        </w:rPr>
        <w:t>divfaktoru</w:t>
      </w:r>
      <w:proofErr w:type="spellEnd"/>
      <w:r w:rsidR="005F1610" w:rsidRPr="005F1610">
        <w:rPr>
          <w:rFonts w:ascii="Times New Roman" w:hAnsi="Times New Roman" w:cs="Times New Roman"/>
        </w:rPr>
        <w:t xml:space="preserve"> autentifikāciju).</w:t>
      </w:r>
    </w:p>
    <w:p w14:paraId="2A68F8F5" w14:textId="17A962BA" w:rsidR="00C53712" w:rsidRPr="005F1610" w:rsidRDefault="00C53712" w:rsidP="00C53712">
      <w:pPr>
        <w:ind w:left="720"/>
        <w:rPr>
          <w:rFonts w:ascii="Times New Roman" w:hAnsi="Times New Roman" w:cs="Times New Roman"/>
        </w:rPr>
      </w:pPr>
    </w:p>
    <w:p w14:paraId="40B42427" w14:textId="14AA127A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 xml:space="preserve">2.5 </w:t>
      </w:r>
      <w:r w:rsidR="00F66BA5">
        <w:rPr>
          <w:rFonts w:ascii="Times New Roman" w:hAnsi="Times New Roman" w:cs="Times New Roman"/>
          <w:b/>
          <w:bCs/>
        </w:rPr>
        <w:t>Personas d</w:t>
      </w:r>
      <w:r w:rsidRPr="005F1610">
        <w:rPr>
          <w:rFonts w:ascii="Times New Roman" w:hAnsi="Times New Roman" w:cs="Times New Roman"/>
          <w:b/>
          <w:bCs/>
        </w:rPr>
        <w:t xml:space="preserve">atu apstrādes </w:t>
      </w:r>
      <w:r w:rsidR="00F66BA5">
        <w:rPr>
          <w:rFonts w:ascii="Times New Roman" w:hAnsi="Times New Roman" w:cs="Times New Roman"/>
          <w:b/>
          <w:bCs/>
        </w:rPr>
        <w:t>iz</w:t>
      </w:r>
      <w:r w:rsidRPr="005F1610">
        <w:rPr>
          <w:rFonts w:ascii="Times New Roman" w:hAnsi="Times New Roman" w:cs="Times New Roman"/>
          <w:b/>
          <w:bCs/>
        </w:rPr>
        <w:t>beigšana līguma termiņa beigās</w:t>
      </w:r>
    </w:p>
    <w:p w14:paraId="59DBCA20" w14:textId="5B937D07" w:rsidR="005F1610" w:rsidRDefault="005F1610" w:rsidP="005F161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Līguma beigās vai tā pārtraukšanas gadījumā piegādātājam jānodrošina:</w:t>
      </w:r>
    </w:p>
    <w:p w14:paraId="22FD12C3" w14:textId="3E60523F" w:rsidR="00DD7B6D" w:rsidRPr="00DD7B6D" w:rsidRDefault="00DD7B6D" w:rsidP="00DD7B6D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DD7B6D">
        <w:rPr>
          <w:rFonts w:ascii="Times New Roman" w:hAnsi="Times New Roman" w:cs="Times New Roman"/>
        </w:rPr>
        <w:t>Datu nodošana pasūtītājam drošā, šifrētā formātā</w:t>
      </w:r>
      <w:r w:rsidR="00C53712">
        <w:rPr>
          <w:rFonts w:ascii="Times New Roman" w:hAnsi="Times New Roman" w:cs="Times New Roman"/>
        </w:rPr>
        <w:t>;</w:t>
      </w:r>
    </w:p>
    <w:p w14:paraId="5FE62549" w14:textId="0C3563B4" w:rsidR="005F1610" w:rsidRDefault="00C53712" w:rsidP="005F1610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1F918C" wp14:editId="76871F4D">
                <wp:simplePos x="0" y="0"/>
                <wp:positionH relativeFrom="column">
                  <wp:posOffset>0</wp:posOffset>
                </wp:positionH>
                <wp:positionV relativeFrom="paragraph">
                  <wp:posOffset>349664</wp:posOffset>
                </wp:positionV>
                <wp:extent cx="5229225" cy="2619375"/>
                <wp:effectExtent l="0" t="0" r="28575" b="28575"/>
                <wp:wrapSquare wrapText="bothSides"/>
                <wp:docPr id="17423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0A27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918C" id="_x0000_s1033" type="#_x0000_t202" style="position:absolute;left:0;text-align:left;margin-left:0;margin-top:27.55pt;width:411.75pt;height:20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">
                <v:textbox>
                  <w:txbxContent>
                    <w:p w14:paraId="04250A27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>Droša visu datu, ieskaitot dublējumus, dzēšana</w:t>
      </w:r>
      <w:r w:rsidR="00DD7B6D">
        <w:rPr>
          <w:rFonts w:ascii="Times New Roman" w:hAnsi="Times New Roman" w:cs="Times New Roman"/>
        </w:rPr>
        <w:t>.</w:t>
      </w:r>
    </w:p>
    <w:p w14:paraId="057C1457" w14:textId="4065608A" w:rsidR="00C53712" w:rsidRPr="005F1610" w:rsidRDefault="00C53712" w:rsidP="00C53712">
      <w:pPr>
        <w:ind w:left="1440"/>
        <w:rPr>
          <w:rFonts w:ascii="Times New Roman" w:hAnsi="Times New Roman" w:cs="Times New Roman"/>
        </w:rPr>
      </w:pPr>
    </w:p>
    <w:p w14:paraId="4B34E4CA" w14:textId="77777777" w:rsidR="005F1610" w:rsidRPr="005F1610" w:rsidRDefault="00C53712" w:rsidP="005F1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6E40775">
          <v:rect id="_x0000_i1026" style="width:0;height:1.5pt" o:hralign="center" o:hrstd="t" o:hr="t" fillcolor="#a0a0a0" stroked="f"/>
        </w:pict>
      </w:r>
    </w:p>
    <w:p w14:paraId="473A09A0" w14:textId="4D14D10D" w:rsidR="005F1610" w:rsidRPr="005F1610" w:rsidRDefault="005F1610" w:rsidP="005F1610">
      <w:pPr>
        <w:rPr>
          <w:rFonts w:ascii="Times New Roman" w:hAnsi="Times New Roman" w:cs="Times New Roman"/>
          <w:b/>
          <w:bCs/>
        </w:rPr>
      </w:pPr>
      <w:r w:rsidRPr="005F1610">
        <w:rPr>
          <w:rFonts w:ascii="Times New Roman" w:hAnsi="Times New Roman" w:cs="Times New Roman"/>
          <w:b/>
          <w:bCs/>
        </w:rPr>
        <w:t>3. Audita tiesības un atbilstības uzraudzība</w:t>
      </w:r>
    </w:p>
    <w:p w14:paraId="18901CB7" w14:textId="77777777" w:rsidR="005F1610" w:rsidRPr="005F1610" w:rsidRDefault="005F1610" w:rsidP="005F1610">
      <w:p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>Pasūtītājam ir tiesības:</w:t>
      </w:r>
    </w:p>
    <w:p w14:paraId="6BAA46EF" w14:textId="01D4D7DA" w:rsidR="005F1610" w:rsidRPr="005F1610" w:rsidRDefault="005F1610" w:rsidP="005F161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F1610">
        <w:rPr>
          <w:rFonts w:ascii="Times New Roman" w:hAnsi="Times New Roman" w:cs="Times New Roman"/>
        </w:rPr>
        <w:t xml:space="preserve">Veikt regulārus vai ārkārtas auditus par piegādātāja </w:t>
      </w:r>
      <w:proofErr w:type="spellStart"/>
      <w:r w:rsidRPr="005F1610">
        <w:rPr>
          <w:rFonts w:ascii="Times New Roman" w:hAnsi="Times New Roman" w:cs="Times New Roman"/>
        </w:rPr>
        <w:t>kiberdrošības</w:t>
      </w:r>
      <w:proofErr w:type="spellEnd"/>
      <w:r w:rsidRPr="005F1610">
        <w:rPr>
          <w:rFonts w:ascii="Times New Roman" w:hAnsi="Times New Roman" w:cs="Times New Roman"/>
        </w:rPr>
        <w:t xml:space="preserve"> un </w:t>
      </w:r>
      <w:r w:rsidR="00F66BA5">
        <w:rPr>
          <w:rFonts w:ascii="Times New Roman" w:hAnsi="Times New Roman" w:cs="Times New Roman"/>
        </w:rPr>
        <w:t xml:space="preserve">personas </w:t>
      </w:r>
      <w:r w:rsidRPr="005F1610">
        <w:rPr>
          <w:rFonts w:ascii="Times New Roman" w:hAnsi="Times New Roman" w:cs="Times New Roman"/>
        </w:rPr>
        <w:t>datu apstrādes procesu atbilstību;</w:t>
      </w:r>
    </w:p>
    <w:p w14:paraId="30FB5AA4" w14:textId="220832EC" w:rsidR="005F1610" w:rsidRPr="005F1610" w:rsidRDefault="00C53712" w:rsidP="005F161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50B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936BF3" wp14:editId="54927E2D">
                <wp:simplePos x="0" y="0"/>
                <wp:positionH relativeFrom="column">
                  <wp:posOffset>0</wp:posOffset>
                </wp:positionH>
                <wp:positionV relativeFrom="paragraph">
                  <wp:posOffset>326114</wp:posOffset>
                </wp:positionV>
                <wp:extent cx="5229225" cy="2619375"/>
                <wp:effectExtent l="0" t="0" r="28575" b="28575"/>
                <wp:wrapSquare wrapText="bothSides"/>
                <wp:docPr id="1133794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B47F" w14:textId="77777777" w:rsidR="00C53712" w:rsidRPr="002C29EE" w:rsidRDefault="00C53712" w:rsidP="00C537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29EE">
                              <w:rPr>
                                <w:rFonts w:ascii="Times New Roman" w:hAnsi="Times New Roman" w:cs="Times New Roman"/>
                              </w:rPr>
                              <w:t>Pretendenta komentārs: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6BF3" id="_x0000_s1034" type="#_x0000_t202" style="position:absolute;left:0;text-align:left;margin-left:0;margin-top:25.7pt;width:411.75pt;height:20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">
                <v:textbox>
                  <w:txbxContent>
                    <w:p w14:paraId="773EB47F" w14:textId="77777777" w:rsidR="00C53712" w:rsidRPr="002C29EE" w:rsidRDefault="00C53712" w:rsidP="00C537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29EE">
                        <w:rPr>
                          <w:rFonts w:ascii="Times New Roman" w:hAnsi="Times New Roman" w:cs="Times New Roman"/>
                        </w:rPr>
                        <w:t>Pretendenta komentārs: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610" w:rsidRPr="005F1610">
        <w:rPr>
          <w:rFonts w:ascii="Times New Roman" w:hAnsi="Times New Roman" w:cs="Times New Roman"/>
        </w:rPr>
        <w:t>Uzlikt līgum</w:t>
      </w:r>
      <w:r w:rsidR="00F66BA5">
        <w:rPr>
          <w:rFonts w:ascii="Times New Roman" w:hAnsi="Times New Roman" w:cs="Times New Roman"/>
        </w:rPr>
        <w:t>sodu</w:t>
      </w:r>
      <w:r w:rsidR="00F66BA5" w:rsidRPr="005F1610">
        <w:rPr>
          <w:rFonts w:ascii="Times New Roman" w:hAnsi="Times New Roman" w:cs="Times New Roman"/>
        </w:rPr>
        <w:t xml:space="preserve"> </w:t>
      </w:r>
      <w:r w:rsidR="005F1610" w:rsidRPr="005F1610">
        <w:rPr>
          <w:rFonts w:ascii="Times New Roman" w:hAnsi="Times New Roman" w:cs="Times New Roman"/>
        </w:rPr>
        <w:t xml:space="preserve">vai </w:t>
      </w:r>
      <w:r w:rsidR="001517AB">
        <w:rPr>
          <w:rFonts w:ascii="Times New Roman" w:hAnsi="Times New Roman" w:cs="Times New Roman"/>
        </w:rPr>
        <w:t>izbeigt</w:t>
      </w:r>
      <w:r w:rsidR="00F66BA5">
        <w:rPr>
          <w:rFonts w:ascii="Times New Roman" w:hAnsi="Times New Roman" w:cs="Times New Roman"/>
        </w:rPr>
        <w:t xml:space="preserve"> </w:t>
      </w:r>
      <w:r w:rsidR="005F1610" w:rsidRPr="005F1610">
        <w:rPr>
          <w:rFonts w:ascii="Times New Roman" w:hAnsi="Times New Roman" w:cs="Times New Roman"/>
        </w:rPr>
        <w:t>līgum</w:t>
      </w:r>
      <w:r w:rsidR="00F66BA5">
        <w:rPr>
          <w:rFonts w:ascii="Times New Roman" w:hAnsi="Times New Roman" w:cs="Times New Roman"/>
        </w:rPr>
        <w:t>u</w:t>
      </w:r>
      <w:r w:rsidR="005F1610" w:rsidRPr="005F1610">
        <w:rPr>
          <w:rFonts w:ascii="Times New Roman" w:hAnsi="Times New Roman" w:cs="Times New Roman"/>
        </w:rPr>
        <w:t>, ja atbilstības prasības netiek ievērotas.</w:t>
      </w:r>
    </w:p>
    <w:p w14:paraId="247FD3F9" w14:textId="31624545" w:rsidR="00A314EF" w:rsidRPr="005F1610" w:rsidRDefault="00A314EF" w:rsidP="005F1610"/>
    <w:sectPr w:rsidR="00A314EF" w:rsidRPr="005F1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9FE"/>
    <w:multiLevelType w:val="multilevel"/>
    <w:tmpl w:val="D61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81DC4"/>
    <w:multiLevelType w:val="multilevel"/>
    <w:tmpl w:val="2B0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030DF"/>
    <w:multiLevelType w:val="multilevel"/>
    <w:tmpl w:val="18D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5720"/>
    <w:multiLevelType w:val="multilevel"/>
    <w:tmpl w:val="3CAE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231E3"/>
    <w:multiLevelType w:val="multilevel"/>
    <w:tmpl w:val="F99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573E1"/>
    <w:multiLevelType w:val="multilevel"/>
    <w:tmpl w:val="7B6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91A33"/>
    <w:multiLevelType w:val="multilevel"/>
    <w:tmpl w:val="994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D1B16"/>
    <w:multiLevelType w:val="multilevel"/>
    <w:tmpl w:val="85F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A6A96"/>
    <w:multiLevelType w:val="multilevel"/>
    <w:tmpl w:val="966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A644D"/>
    <w:multiLevelType w:val="multilevel"/>
    <w:tmpl w:val="6DBAD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1031229">
    <w:abstractNumId w:val="4"/>
  </w:num>
  <w:num w:numId="2" w16cid:durableId="1313407863">
    <w:abstractNumId w:val="7"/>
  </w:num>
  <w:num w:numId="3" w16cid:durableId="398939870">
    <w:abstractNumId w:val="1"/>
  </w:num>
  <w:num w:numId="4" w16cid:durableId="126752141">
    <w:abstractNumId w:val="6"/>
  </w:num>
  <w:num w:numId="5" w16cid:durableId="1848984036">
    <w:abstractNumId w:val="8"/>
  </w:num>
  <w:num w:numId="6" w16cid:durableId="160976675">
    <w:abstractNumId w:val="0"/>
  </w:num>
  <w:num w:numId="7" w16cid:durableId="658652949">
    <w:abstractNumId w:val="2"/>
  </w:num>
  <w:num w:numId="8" w16cid:durableId="1016618098">
    <w:abstractNumId w:val="3"/>
  </w:num>
  <w:num w:numId="9" w16cid:durableId="1197161649">
    <w:abstractNumId w:val="5"/>
  </w:num>
  <w:num w:numId="10" w16cid:durableId="1319067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10"/>
    <w:rsid w:val="00013CDC"/>
    <w:rsid w:val="00093905"/>
    <w:rsid w:val="001517AB"/>
    <w:rsid w:val="0018045D"/>
    <w:rsid w:val="00387EF1"/>
    <w:rsid w:val="003D1ACC"/>
    <w:rsid w:val="004A3E83"/>
    <w:rsid w:val="00504AC9"/>
    <w:rsid w:val="005F1610"/>
    <w:rsid w:val="00623546"/>
    <w:rsid w:val="00666FD7"/>
    <w:rsid w:val="0067677A"/>
    <w:rsid w:val="00741BCB"/>
    <w:rsid w:val="00905006"/>
    <w:rsid w:val="00A314EF"/>
    <w:rsid w:val="00A90288"/>
    <w:rsid w:val="00BA58DC"/>
    <w:rsid w:val="00BD2283"/>
    <w:rsid w:val="00BE1B97"/>
    <w:rsid w:val="00C53712"/>
    <w:rsid w:val="00D90D06"/>
    <w:rsid w:val="00DD7B6D"/>
    <w:rsid w:val="00E5261C"/>
    <w:rsid w:val="00EF7B2D"/>
    <w:rsid w:val="00F504A3"/>
    <w:rsid w:val="00F66BA5"/>
    <w:rsid w:val="00F8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33DAD5C"/>
  <w15:chartTrackingRefBased/>
  <w15:docId w15:val="{DDC044C5-2C82-49D6-8AA3-D0CDC1F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61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939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Valdemārs</dc:creator>
  <cp:keywords/>
  <dc:description/>
  <cp:lastModifiedBy>Jānis Saule</cp:lastModifiedBy>
  <cp:revision>3</cp:revision>
  <dcterms:created xsi:type="dcterms:W3CDTF">2025-06-03T10:39:00Z</dcterms:created>
  <dcterms:modified xsi:type="dcterms:W3CDTF">2025-06-11T06:42:00Z</dcterms:modified>
</cp:coreProperties>
</file>