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8045" w14:textId="77777777" w:rsidR="00935245" w:rsidRPr="00935245" w:rsidRDefault="00935245" w:rsidP="00935245">
      <w:pPr>
        <w:rPr>
          <w:b/>
          <w:bCs/>
        </w:rPr>
      </w:pPr>
      <w:r w:rsidRPr="00935245">
        <w:rPr>
          <w:b/>
          <w:bCs/>
        </w:rPr>
        <w:t>Saturs:</w:t>
      </w:r>
    </w:p>
    <w:p w14:paraId="5EC3A8A9" w14:textId="77777777" w:rsidR="00935245" w:rsidRPr="00935245" w:rsidRDefault="00935245" w:rsidP="00935245">
      <w:r w:rsidRPr="00935245">
        <w:t xml:space="preserve">          1. Vispārīgie noteikumi</w:t>
      </w:r>
    </w:p>
    <w:p w14:paraId="132A542F" w14:textId="77777777" w:rsidR="00935245" w:rsidRPr="00935245" w:rsidRDefault="00935245" w:rsidP="00935245">
      <w:r w:rsidRPr="00935245">
        <w:t xml:space="preserve">          2. Rakšanas darbu izpilde</w:t>
      </w:r>
    </w:p>
    <w:p w14:paraId="59EC3B0E" w14:textId="77777777" w:rsidR="00935245" w:rsidRPr="00935245" w:rsidRDefault="00935245" w:rsidP="00935245">
      <w:r w:rsidRPr="00935245">
        <w:t xml:space="preserve">          3. Avārijas darbi</w:t>
      </w:r>
    </w:p>
    <w:p w14:paraId="56A279D3" w14:textId="77777777" w:rsidR="00935245" w:rsidRPr="00935245" w:rsidRDefault="00935245" w:rsidP="00935245">
      <w:r w:rsidRPr="00935245">
        <w:t xml:space="preserve">          4. Ceļu, laukumu, gājēju trotuāru atjaunošanas darbu garantijas</w:t>
      </w:r>
    </w:p>
    <w:p w14:paraId="32288984" w14:textId="77777777" w:rsidR="00935245" w:rsidRPr="00935245" w:rsidRDefault="00935245" w:rsidP="00935245"/>
    <w:p w14:paraId="58305C14" w14:textId="77777777" w:rsidR="00935245" w:rsidRPr="00935245" w:rsidRDefault="00935245" w:rsidP="00935245">
      <w:pPr>
        <w:numPr>
          <w:ilvl w:val="0"/>
          <w:numId w:val="23"/>
        </w:numPr>
        <w:rPr>
          <w:b/>
          <w:bCs/>
        </w:rPr>
      </w:pPr>
      <w:r w:rsidRPr="00935245">
        <w:rPr>
          <w:b/>
          <w:bCs/>
        </w:rPr>
        <w:t>Vispārīgie noteikumi</w:t>
      </w:r>
    </w:p>
    <w:p w14:paraId="52493DE9" w14:textId="77777777" w:rsidR="00935245" w:rsidRPr="00935245" w:rsidRDefault="00935245" w:rsidP="00935245">
      <w:pPr>
        <w:rPr>
          <w:b/>
          <w:bCs/>
        </w:rPr>
      </w:pPr>
    </w:p>
    <w:p w14:paraId="5ED8FAE5" w14:textId="77777777" w:rsidR="00935245" w:rsidRPr="00935245" w:rsidRDefault="00935245" w:rsidP="00935245">
      <w:pPr>
        <w:rPr>
          <w:bCs/>
        </w:rPr>
      </w:pPr>
      <w:r w:rsidRPr="00935245">
        <w:rPr>
          <w:bCs/>
        </w:rPr>
        <w:t>Šie noteikumi attiecas uz zemes rakšanas darbu izpildi AS "Latvenergo" TEC Tehniskās vadības funkcijas objektos, veicot jauno objektu celtniecību, avāriju likvidēšanu, atjaunošanas un pārbūves darbus.</w:t>
      </w:r>
    </w:p>
    <w:p w14:paraId="451E0892" w14:textId="77777777" w:rsidR="00935245" w:rsidRPr="00935245" w:rsidRDefault="00935245" w:rsidP="00935245">
      <w:pPr>
        <w:rPr>
          <w:bCs/>
        </w:rPr>
      </w:pPr>
      <w:r w:rsidRPr="00935245">
        <w:rPr>
          <w:bCs/>
        </w:rPr>
        <w:t>Šos noteikumus jāievēro un jāizpilda visām organizācijām, sabiedrībām ar ierobežotu atbildību, individuālajiem uzņēmumiem un individuālām personām.</w:t>
      </w:r>
    </w:p>
    <w:p w14:paraId="2C3B99AA" w14:textId="77777777" w:rsidR="00935245" w:rsidRPr="00935245" w:rsidRDefault="00935245" w:rsidP="00935245">
      <w:pPr>
        <w:rPr>
          <w:bCs/>
        </w:rPr>
      </w:pPr>
      <w:r w:rsidRPr="00935245">
        <w:rPr>
          <w:bCs/>
        </w:rPr>
        <w:t>Veicot visus zemes rakšanas darbus AS "Latvenergo" TEC Tehniskās vadības funkcijas objektos, darbu izpildītājam attiecīgajā termoelektrostacijā jāsagatavo LIVS sistēmā rakšanas darbu atļauja un tā jāsaskaņo ar atļaujā norādītajām iestādēm, uzņēmumiem, zemes gabalu īpašniekiem un AS “Latvenergo” struktūrvienībām, kuras ir uzrādītas vai noteiktas rakšanas darbu atļaujā.</w:t>
      </w:r>
    </w:p>
    <w:p w14:paraId="0582D352" w14:textId="77777777" w:rsidR="00935245" w:rsidRPr="00935245" w:rsidRDefault="00935245" w:rsidP="00935245">
      <w:pPr>
        <w:rPr>
          <w:bCs/>
        </w:rPr>
      </w:pPr>
      <w:r w:rsidRPr="00935245">
        <w:rPr>
          <w:bCs/>
        </w:rPr>
        <w:t>Bez rakšanas atļaujas var veikt tikai zemes virskārtas rakšanu ar roku darbu līdz 30 cm dziļumam.</w:t>
      </w:r>
    </w:p>
    <w:p w14:paraId="06F1ABFC" w14:textId="77777777" w:rsidR="00935245" w:rsidRPr="00935245" w:rsidRDefault="00935245" w:rsidP="00935245">
      <w:pPr>
        <w:rPr>
          <w:bCs/>
        </w:rPr>
      </w:pPr>
      <w:r w:rsidRPr="00935245">
        <w:rPr>
          <w:bCs/>
        </w:rPr>
        <w:t xml:space="preserve">Zemes darbu izpildes atļauju AS "Latvenergo" TEC Tehniskās vadības funkcijas attiecīgajā ražotnē jāsaņem vismaz 2 (divas) dienas pirms darbu uzsākšanas, un dienu pirms darbu uzsākšanas jābūt noformētiem visiem nepieciešamajiem saskaņojumiem. Izņēmumi ir  rakšanas darbi, kas saistīti ar avāriju likvidēšanu. Rakšanas darbu atļauju avāriju likvidēšanas darbiem sagatavo un saskaņo steidzamā kārtā. </w:t>
      </w:r>
    </w:p>
    <w:p w14:paraId="005FA90F" w14:textId="77777777" w:rsidR="00935245" w:rsidRPr="00935245" w:rsidRDefault="00935245" w:rsidP="00935245">
      <w:pPr>
        <w:rPr>
          <w:bCs/>
        </w:rPr>
      </w:pPr>
      <w:r w:rsidRPr="00935245">
        <w:rPr>
          <w:bCs/>
        </w:rPr>
        <w:t>Zemes darbu izpildes atļaujai  pievieno  skici ar rakšanas vietu, ja iespējams ar piesaisti topogrāfiskajā plānā esošām ēkām, būvēm un citiem pastāvīgiem dabā atrodamiem punktiem, norādot trases rakšanas virzienu, dziļumu un  garumu.</w:t>
      </w:r>
    </w:p>
    <w:p w14:paraId="70E55500" w14:textId="77777777" w:rsidR="00935245" w:rsidRPr="00935245" w:rsidRDefault="00935245" w:rsidP="00935245">
      <w:pPr>
        <w:rPr>
          <w:bCs/>
        </w:rPr>
      </w:pPr>
      <w:r w:rsidRPr="00935245">
        <w:rPr>
          <w:bCs/>
        </w:rPr>
        <w:t>Darbu izpildītājam, lai veiktu darbus uz ielām, ceļiem vai tiešā to tuvumā (kas var ietekmēt satiksmes drošību), tie ir jāveic atbilstoši 2001. gada 2. oktobra MK noteikumu Nr. 421 "Noteikumi par darba vietu aprīkošanu uz ceļiem" prasībām. Ja rakšanas darbi saistīti ar autotransporta kustības izmaiņām (satiksme tiek pārtraukta vai novirzīta pa citu maršrutu), tad zemes darbu izpildes atļaujas pieprasītājs sedz informācijas ievietošanas sociālos medijos izmaksas.</w:t>
      </w:r>
    </w:p>
    <w:p w14:paraId="28FAD5D1" w14:textId="77777777" w:rsidR="00935245" w:rsidRPr="00935245" w:rsidRDefault="00935245" w:rsidP="00935245">
      <w:pPr>
        <w:rPr>
          <w:bCs/>
        </w:rPr>
      </w:pPr>
      <w:r w:rsidRPr="00935245">
        <w:t>Atbildīgajam par darbu izpildi, veicot rakšanas darbus, jānodrošina sekojošu normatīvo dokumentu prasību izpildi:</w:t>
      </w:r>
    </w:p>
    <w:p w14:paraId="39E97BAF" w14:textId="77777777" w:rsidR="00935245" w:rsidRPr="00935245" w:rsidRDefault="00935245" w:rsidP="00935245">
      <w:pPr>
        <w:numPr>
          <w:ilvl w:val="0"/>
          <w:numId w:val="24"/>
        </w:numPr>
      </w:pPr>
      <w:r w:rsidRPr="00935245">
        <w:t>LVS1082 „Energoietaišu tehniskā ekspluatācija”;</w:t>
      </w:r>
    </w:p>
    <w:p w14:paraId="4D3AAA5C" w14:textId="77777777" w:rsidR="00935245" w:rsidRPr="00935245" w:rsidRDefault="00935245" w:rsidP="00935245">
      <w:pPr>
        <w:numPr>
          <w:ilvl w:val="0"/>
          <w:numId w:val="24"/>
        </w:numPr>
      </w:pPr>
      <w:r w:rsidRPr="00935245">
        <w:t>LEK025 “Drošības prasības, veicot darbus elektroietaisēs”;</w:t>
      </w:r>
    </w:p>
    <w:p w14:paraId="5EA677B1" w14:textId="77777777" w:rsidR="00935245" w:rsidRPr="00935245" w:rsidRDefault="00935245" w:rsidP="00935245">
      <w:pPr>
        <w:numPr>
          <w:ilvl w:val="0"/>
          <w:numId w:val="24"/>
        </w:numPr>
      </w:pPr>
      <w:r w:rsidRPr="00935245">
        <w:t xml:space="preserve">LEK036 </w:t>
      </w:r>
      <w:r w:rsidRPr="00935245">
        <w:rPr>
          <w:bCs/>
        </w:rPr>
        <w:t>„Drošības prasības, veicot darbus siltuma un gāzes ietaisēs”;</w:t>
      </w:r>
    </w:p>
    <w:p w14:paraId="334AAD33" w14:textId="77777777" w:rsidR="00935245" w:rsidRPr="00935245" w:rsidRDefault="00935245" w:rsidP="00935245">
      <w:pPr>
        <w:numPr>
          <w:ilvl w:val="0"/>
          <w:numId w:val="24"/>
        </w:numPr>
      </w:pPr>
      <w:r w:rsidRPr="00935245">
        <w:t>19.08.2014. MK noteikumi Nr.500 „</w:t>
      </w:r>
      <w:r w:rsidRPr="00935245">
        <w:rPr>
          <w:bCs/>
        </w:rPr>
        <w:t>Vispārīgie būvnoteikumi”;</w:t>
      </w:r>
    </w:p>
    <w:p w14:paraId="52E34695" w14:textId="77777777" w:rsidR="00935245" w:rsidRPr="00935245" w:rsidRDefault="00935245" w:rsidP="00935245">
      <w:pPr>
        <w:numPr>
          <w:ilvl w:val="0"/>
          <w:numId w:val="24"/>
        </w:numPr>
      </w:pPr>
      <w:r w:rsidRPr="00935245">
        <w:rPr>
          <w:bCs/>
        </w:rPr>
        <w:t>25.02.2003. MK noteikumi Nr. 92 "Darba aizsardzības prasības veicot būvdarbus";</w:t>
      </w:r>
    </w:p>
    <w:p w14:paraId="74179FC9" w14:textId="77777777" w:rsidR="00935245" w:rsidRPr="00935245" w:rsidRDefault="00935245" w:rsidP="00935245">
      <w:pPr>
        <w:numPr>
          <w:ilvl w:val="0"/>
          <w:numId w:val="24"/>
        </w:numPr>
      </w:pPr>
      <w:r w:rsidRPr="00935245">
        <w:t xml:space="preserve">19.04.2016. MK noteikumi Nr.238 </w:t>
      </w:r>
      <w:r w:rsidRPr="00935245">
        <w:rPr>
          <w:bCs/>
        </w:rPr>
        <w:t>“Ugunsdrošības noteikumi”;</w:t>
      </w:r>
    </w:p>
    <w:p w14:paraId="4959E42B" w14:textId="77777777" w:rsidR="00935245" w:rsidRPr="00935245" w:rsidRDefault="00935245" w:rsidP="00935245">
      <w:pPr>
        <w:numPr>
          <w:ilvl w:val="0"/>
          <w:numId w:val="24"/>
        </w:numPr>
      </w:pPr>
      <w:r w:rsidRPr="00935245">
        <w:rPr>
          <w:bCs/>
        </w:rPr>
        <w:t>28.04.2009. MK noteikumi Nr.359 “Darba aizsardzības prasības darba vietās”;</w:t>
      </w:r>
    </w:p>
    <w:p w14:paraId="18933318" w14:textId="77777777" w:rsidR="00935245" w:rsidRPr="00935245" w:rsidRDefault="00935245" w:rsidP="00935245">
      <w:pPr>
        <w:numPr>
          <w:ilvl w:val="0"/>
          <w:numId w:val="24"/>
        </w:numPr>
      </w:pPr>
      <w:r w:rsidRPr="00935245">
        <w:rPr>
          <w:bCs/>
        </w:rPr>
        <w:t>05.02.1997. Aizsargjoslu likums;</w:t>
      </w:r>
    </w:p>
    <w:p w14:paraId="621BE1A7" w14:textId="77777777" w:rsidR="00935245" w:rsidRPr="00935245" w:rsidRDefault="00935245" w:rsidP="00935245">
      <w:pPr>
        <w:numPr>
          <w:ilvl w:val="0"/>
          <w:numId w:val="24"/>
        </w:numPr>
      </w:pPr>
      <w:r w:rsidRPr="00935245">
        <w:rPr>
          <w:bCs/>
        </w:rPr>
        <w:t>28.10.2010. Atkritumu apsaimniekošanas likums.</w:t>
      </w:r>
    </w:p>
    <w:p w14:paraId="62ACBDE0" w14:textId="77777777" w:rsidR="00935245" w:rsidRPr="00935245" w:rsidRDefault="00935245" w:rsidP="00935245">
      <w:pPr>
        <w:rPr>
          <w:b/>
          <w:bCs/>
        </w:rPr>
      </w:pPr>
    </w:p>
    <w:p w14:paraId="17FD1E08" w14:textId="77777777" w:rsidR="00935245" w:rsidRPr="00935245" w:rsidRDefault="00935245" w:rsidP="00935245">
      <w:pPr>
        <w:rPr>
          <w:b/>
          <w:bCs/>
        </w:rPr>
      </w:pPr>
    </w:p>
    <w:p w14:paraId="6475E2B5" w14:textId="77777777" w:rsidR="00935245" w:rsidRPr="00935245" w:rsidRDefault="00935245" w:rsidP="00935245">
      <w:pPr>
        <w:rPr>
          <w:b/>
          <w:bCs/>
        </w:rPr>
      </w:pPr>
    </w:p>
    <w:p w14:paraId="198736BD" w14:textId="77777777" w:rsidR="00935245" w:rsidRPr="00935245" w:rsidRDefault="00935245" w:rsidP="00935245">
      <w:pPr>
        <w:rPr>
          <w:b/>
          <w:bCs/>
        </w:rPr>
      </w:pPr>
    </w:p>
    <w:p w14:paraId="734BA33C" w14:textId="77777777" w:rsidR="00935245" w:rsidRPr="00935245" w:rsidRDefault="00935245" w:rsidP="00935245">
      <w:pPr>
        <w:numPr>
          <w:ilvl w:val="0"/>
          <w:numId w:val="23"/>
        </w:numPr>
        <w:rPr>
          <w:b/>
          <w:bCs/>
        </w:rPr>
      </w:pPr>
      <w:r w:rsidRPr="00935245">
        <w:rPr>
          <w:b/>
          <w:bCs/>
        </w:rPr>
        <w:t>Rakšanas darbu izpilde</w:t>
      </w:r>
    </w:p>
    <w:p w14:paraId="37C225F0" w14:textId="77777777" w:rsidR="00935245" w:rsidRPr="00935245" w:rsidRDefault="00935245" w:rsidP="00935245">
      <w:pPr>
        <w:rPr>
          <w:b/>
          <w:bCs/>
        </w:rPr>
      </w:pPr>
    </w:p>
    <w:p w14:paraId="2E364CD1" w14:textId="77777777" w:rsidR="00935245" w:rsidRPr="00935245" w:rsidRDefault="00935245" w:rsidP="00935245">
      <w:pPr>
        <w:rPr>
          <w:bCs/>
        </w:rPr>
      </w:pPr>
      <w:r w:rsidRPr="00935245">
        <w:rPr>
          <w:bCs/>
        </w:rPr>
        <w:lastRenderedPageBreak/>
        <w:t>Rakšanas darbus var uzsākt tikai pēc saskaņojumu saņemšanas no visu apakšzemes komunikāciju ekspluatējošām organizācijām un struktūrvienībām.</w:t>
      </w:r>
    </w:p>
    <w:p w14:paraId="742DC597" w14:textId="77777777" w:rsidR="00935245" w:rsidRPr="00935245" w:rsidRDefault="00935245" w:rsidP="00935245">
      <w:pPr>
        <w:rPr>
          <w:bCs/>
        </w:rPr>
      </w:pPr>
      <w:r w:rsidRPr="00935245">
        <w:rPr>
          <w:bCs/>
        </w:rPr>
        <w:t>Apakšzemes komunikācijas atšurfē, izmantojot roku darbu, ekspluatējošās organizācijas pārstāvja klātbūtnē, ievērojot attiecīgo komunikāciju un objektu ekspluatācijas, darba aizsardzības, ugunsdrošības, vides aizsardzības un citas normatīvajos aktos noteiktās prasības.</w:t>
      </w:r>
    </w:p>
    <w:p w14:paraId="1B021FA1" w14:textId="77777777" w:rsidR="00935245" w:rsidRPr="00935245" w:rsidRDefault="00935245" w:rsidP="00935245">
      <w:pPr>
        <w:rPr>
          <w:bCs/>
        </w:rPr>
      </w:pPr>
      <w:r w:rsidRPr="00935245">
        <w:rPr>
          <w:bCs/>
        </w:rPr>
        <w:t>Atbildīgais par darbu izpildi ir atbildīgs par atrakto komunikāciju saglabāšanu darbu izpildes laikā.</w:t>
      </w:r>
    </w:p>
    <w:p w14:paraId="3B841B03" w14:textId="77777777" w:rsidR="00935245" w:rsidRPr="00935245" w:rsidRDefault="00935245" w:rsidP="00935245">
      <w:pPr>
        <w:rPr>
          <w:bCs/>
        </w:rPr>
      </w:pPr>
      <w:r w:rsidRPr="00935245">
        <w:rPr>
          <w:bCs/>
        </w:rPr>
        <w:t>Atbildīgajam par darbu izpildi jārūpējas, lai vietas, kur uz ielām un to tiešā tuvumā tiek veikti rakšanas darbi, tiktu apzīmētas atbilstoši normatīvo dokumentu prasībām. Nepieciešamības gadījumā uzstādīt gājēju tiltiņus.</w:t>
      </w:r>
    </w:p>
    <w:p w14:paraId="560D0C6B" w14:textId="77777777" w:rsidR="00935245" w:rsidRPr="00935245" w:rsidRDefault="00935245" w:rsidP="00935245">
      <w:pPr>
        <w:rPr>
          <w:bCs/>
        </w:rPr>
      </w:pPr>
      <w:r w:rsidRPr="00935245">
        <w:rPr>
          <w:bCs/>
        </w:rPr>
        <w:t>Izpildot rakšanas darbus, aizliegts apbērt ar zemi virszemes komunikācijas, to atrašanās zīmes, ģeodēziskos punktus, aku vākus, gūlijas, sadales skapjus, kokus, krūmus, apstādījumus u.c.</w:t>
      </w:r>
    </w:p>
    <w:p w14:paraId="4DA245E7" w14:textId="77777777" w:rsidR="00935245" w:rsidRPr="00935245" w:rsidRDefault="00935245" w:rsidP="00935245">
      <w:pPr>
        <w:rPr>
          <w:bCs/>
        </w:rPr>
      </w:pPr>
      <w:r w:rsidRPr="00935245">
        <w:rPr>
          <w:bCs/>
        </w:rPr>
        <w:t>Ja veicot zemes rakšanas darbus tiek atrastas apakšzemes komunikācijas, kas nav uzrādītas topogrāfiskajā plānā, darbus nekavējoties ir jāpārtrauc. Darbu izpildītājam jāveic visus iespējamos pasākumus, lai pasargātu apakšzemes komunikācijas pret bojājumiem, kā arī nekavējoties uz darbu veikšanas vietu jāizsauc Pasūtītāja pārstāvis.</w:t>
      </w:r>
    </w:p>
    <w:p w14:paraId="6560915F" w14:textId="77777777" w:rsidR="00935245" w:rsidRPr="00935245" w:rsidRDefault="00935245" w:rsidP="00935245">
      <w:pPr>
        <w:rPr>
          <w:bCs/>
        </w:rPr>
      </w:pPr>
      <w:r w:rsidRPr="00935245">
        <w:rPr>
          <w:bCs/>
        </w:rPr>
        <w:t>Izrakto tranšeju aizbēršanu jāveic ar drenējošu smilti pa slāņiem, ne biezākiem par 0.3 m, katru slāni rūpīgi noblietējot: smilts blīvumam jābūt ne mazākam par 0.95 no dabīgā blīvuma. Aizbērtās tranšejas uz ielām, ceļiem un laukumiem līdz seguma atjaunošanai jāuztur stāvoklī, kas nodrošina transporta un gājēju kustības drošību.</w:t>
      </w:r>
    </w:p>
    <w:p w14:paraId="44B5DD47" w14:textId="77777777" w:rsidR="00935245" w:rsidRPr="00935245" w:rsidRDefault="00935245" w:rsidP="00935245">
      <w:pPr>
        <w:rPr>
          <w:bCs/>
        </w:rPr>
      </w:pPr>
      <w:r w:rsidRPr="00935245">
        <w:rPr>
          <w:bCs/>
        </w:rPr>
        <w:t>Zemes darbu atļaujai tiek piešķirts numurs un tā tiek reģistrēta elektroniski LIVS, skatīt instrukciju pielikumā.</w:t>
      </w:r>
    </w:p>
    <w:p w14:paraId="0FF6B8A0" w14:textId="77777777" w:rsidR="00935245" w:rsidRPr="00935245" w:rsidRDefault="00935245" w:rsidP="00935245">
      <w:pPr>
        <w:rPr>
          <w:bCs/>
        </w:rPr>
      </w:pPr>
      <w:r w:rsidRPr="00935245">
        <w:rPr>
          <w:bCs/>
        </w:rPr>
        <w:t xml:space="preserve">Zemes darbu atļauju atļauts pagarināt 1. reizi uz termiņu, kas nav garāks par sākotnēji noteikto darbu izpildes ilgumu. Zemes darbu atļaujas noslēgšana jāveic, pieaicinot atļaujas izsniedzēju un atrādot rakšanas darbu vietu. </w:t>
      </w:r>
    </w:p>
    <w:p w14:paraId="07157EB6" w14:textId="77777777" w:rsidR="00935245" w:rsidRPr="00935245" w:rsidRDefault="00935245" w:rsidP="00935245">
      <w:pPr>
        <w:rPr>
          <w:bCs/>
        </w:rPr>
      </w:pPr>
    </w:p>
    <w:p w14:paraId="5EAAC283" w14:textId="77777777" w:rsidR="00935245" w:rsidRPr="00935245" w:rsidRDefault="00935245" w:rsidP="00935245">
      <w:pPr>
        <w:numPr>
          <w:ilvl w:val="0"/>
          <w:numId w:val="23"/>
        </w:numPr>
        <w:rPr>
          <w:b/>
          <w:bCs/>
        </w:rPr>
      </w:pPr>
      <w:r w:rsidRPr="00935245">
        <w:rPr>
          <w:b/>
          <w:bCs/>
        </w:rPr>
        <w:t>Avārijas darbi</w:t>
      </w:r>
    </w:p>
    <w:p w14:paraId="57F516D9" w14:textId="77777777" w:rsidR="00935245" w:rsidRPr="00935245" w:rsidRDefault="00935245" w:rsidP="00935245">
      <w:pPr>
        <w:rPr>
          <w:b/>
          <w:bCs/>
        </w:rPr>
      </w:pPr>
    </w:p>
    <w:p w14:paraId="707A54F3" w14:textId="77777777" w:rsidR="00935245" w:rsidRPr="00935245" w:rsidRDefault="00935245" w:rsidP="00935245">
      <w:pPr>
        <w:rPr>
          <w:bCs/>
        </w:rPr>
      </w:pPr>
      <w:r w:rsidRPr="00935245">
        <w:rPr>
          <w:bCs/>
        </w:rPr>
        <w:t>Avārijas darbus organizē juridiskās personas, kuru pārziņā ir inženierkomunikācijas. Rakšanas darbu atļaujas avārijas darbu veikšanai izsniedz uz termiņu, ne ilgāku par 10 kalendārajām dienām. Pazemes inženierkomunikāciju avāriju likvidēšanas darbus jāuzsāk nekavējoties, tos jāveic maksimāli īsā laikā, ievērojot pārējo inženierkomunikāciju aizsardzības noteikumus. Par avāriju nekavējoties jāpaziņo TEC Tehniskās vadības funkcijas attiecīgās ražotnes vadītājam. Avāriju jālikvidē, tranšejas un būvbedres jāaizber. Ielas, laukuma vai ietves segumu jāatjauno nekavējoties pēc avārijas darbu pabeigšanas, ievērojot šajos noteikumos minētās prasības.</w:t>
      </w:r>
    </w:p>
    <w:p w14:paraId="2019F17B" w14:textId="77777777" w:rsidR="00935245" w:rsidRPr="00935245" w:rsidRDefault="00935245" w:rsidP="00935245">
      <w:pPr>
        <w:rPr>
          <w:bCs/>
        </w:rPr>
      </w:pPr>
      <w:r w:rsidRPr="00935245">
        <w:rPr>
          <w:bCs/>
        </w:rPr>
        <w:t>Avārijas darbu vietas jāaprīko atbilstoši normatīvo aktu prasībām.</w:t>
      </w:r>
    </w:p>
    <w:p w14:paraId="1E51B142" w14:textId="77777777" w:rsidR="00935245" w:rsidRPr="00935245" w:rsidRDefault="00935245" w:rsidP="00935245">
      <w:pPr>
        <w:rPr>
          <w:bCs/>
        </w:rPr>
      </w:pPr>
      <w:r w:rsidRPr="00935245">
        <w:rPr>
          <w:bCs/>
        </w:rPr>
        <w:t>Aizliegts veikt jaunu inženierkomunikāciju būvniecību vai plānoto remontu, uzdodot šos darbus kā avārijas likvidēšanu.</w:t>
      </w:r>
    </w:p>
    <w:p w14:paraId="3F0A05F2" w14:textId="77777777" w:rsidR="00935245" w:rsidRPr="00935245" w:rsidRDefault="00935245" w:rsidP="00935245">
      <w:pPr>
        <w:rPr>
          <w:bCs/>
        </w:rPr>
      </w:pPr>
    </w:p>
    <w:p w14:paraId="7E92EE00" w14:textId="77777777" w:rsidR="00935245" w:rsidRPr="00935245" w:rsidRDefault="00935245" w:rsidP="00935245">
      <w:pPr>
        <w:numPr>
          <w:ilvl w:val="0"/>
          <w:numId w:val="23"/>
        </w:numPr>
        <w:rPr>
          <w:b/>
          <w:bCs/>
        </w:rPr>
      </w:pPr>
      <w:r w:rsidRPr="00935245">
        <w:rPr>
          <w:b/>
          <w:bCs/>
        </w:rPr>
        <w:t>Ceļu, laukumu gājēju trotuāru atjaunošanas darbu garantijas</w:t>
      </w:r>
    </w:p>
    <w:p w14:paraId="65C17514" w14:textId="77777777" w:rsidR="00935245" w:rsidRPr="00935245" w:rsidRDefault="00935245" w:rsidP="00935245">
      <w:pPr>
        <w:rPr>
          <w:b/>
          <w:bCs/>
        </w:rPr>
      </w:pPr>
    </w:p>
    <w:p w14:paraId="49B55C81" w14:textId="77777777" w:rsidR="00935245" w:rsidRPr="00935245" w:rsidRDefault="00935245" w:rsidP="00935245">
      <w:pPr>
        <w:rPr>
          <w:bCs/>
        </w:rPr>
      </w:pPr>
      <w:r w:rsidRPr="00935245">
        <w:rPr>
          <w:bCs/>
        </w:rPr>
        <w:t>Ja līgumā norādītā garantijas perioda laikā pēc darbu  nodošanas rakšanas vietā segums deformējas, atkārtotu rakšanas vietas atjaunošanu izpildītājs veic par saviem līdzekļiem, ievērojot noteikto darbu tehnoloģiju.</w:t>
      </w:r>
    </w:p>
    <w:p w14:paraId="4DAA8B57" w14:textId="77777777" w:rsidR="00935245" w:rsidRPr="00935245" w:rsidRDefault="00935245" w:rsidP="00935245">
      <w:pPr>
        <w:rPr>
          <w:bCs/>
        </w:rPr>
      </w:pPr>
      <w:r w:rsidRPr="00935245">
        <w:rPr>
          <w:bCs/>
        </w:rPr>
        <w:t>Ja pēc ielas seguma atjaunošanas  garantijas perioda laikā tas deformējas (maksimālā atstarpe starp 3 m latu un atjaunoto segumu pārsniedz 10 mm), ielas segumu nekavējoties jāatjauno par tās organizācijas līdzekļiem, kura veikusi inženierkomunikāciju izbūvi, pārbūvi vai atjaunošanu.</w:t>
      </w:r>
    </w:p>
    <w:p w14:paraId="22B07794" w14:textId="77777777" w:rsidR="00935245" w:rsidRPr="00935245" w:rsidRDefault="00935245" w:rsidP="00935245">
      <w:pPr>
        <w:rPr>
          <w:bCs/>
        </w:rPr>
      </w:pPr>
      <w:r w:rsidRPr="00935245">
        <w:rPr>
          <w:bCs/>
        </w:rPr>
        <w:t>AS Latvenergo TEC Tehniskās vadības funkcijas ražotņu pārstāvji ir tiesīgi veikt aizbērto tranšeju un atjaunoto ielas segumu laboratoriskās pārbaudes. Ja laboratorijas pārbaužu atzinumā ir atklāta ielas seguma konstrukcijas vai materiāla neatbilstība normatīvajos aktos noteiktajām prasībām, darbs netiek uzskatīts par pabeigtu. Visas izmaksas, kas saistītas ar laboratorijas atzinuma pārbaužu izpildi un defektu labošanu konkrētajā rakšanas vietā, sedz izpildītājs.</w:t>
      </w:r>
    </w:p>
    <w:p w14:paraId="032BEDA8" w14:textId="77777777" w:rsidR="00101DA8" w:rsidRPr="003814BE" w:rsidRDefault="00101DA8" w:rsidP="003814BE"/>
    <w:sectPr w:rsidR="00101DA8" w:rsidRPr="003814BE">
      <w:headerReference w:type="even" r:id="rId8"/>
      <w:headerReference w:type="default" r:id="rId9"/>
      <w:footerReference w:type="even" r:id="rId10"/>
      <w:headerReference w:type="first" r:id="rId11"/>
      <w:pgSz w:w="11907" w:h="16840"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AF1B" w14:textId="77777777" w:rsidR="00543D30" w:rsidRDefault="00543D30">
      <w:r>
        <w:separator/>
      </w:r>
    </w:p>
  </w:endnote>
  <w:endnote w:type="continuationSeparator" w:id="0">
    <w:p w14:paraId="20EEC018" w14:textId="77777777" w:rsidR="00543D30" w:rsidRDefault="0054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4A55" w14:textId="77777777" w:rsidR="00B94D52" w:rsidRDefault="00B94D52">
    <w:pPr>
      <w:pStyle w:val="Footer"/>
    </w:pPr>
  </w:p>
  <w:p w14:paraId="5C9B9E2F" w14:textId="77777777" w:rsidR="00B94D52" w:rsidRDefault="00B94D52"/>
  <w:p w14:paraId="59104777" w14:textId="77777777" w:rsidR="00B94D52" w:rsidRDefault="00B94D52"/>
  <w:p w14:paraId="60928AA1" w14:textId="77777777" w:rsidR="00B94D52" w:rsidRDefault="00B94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7320" w14:textId="77777777" w:rsidR="00543D30" w:rsidRDefault="00543D30">
      <w:r>
        <w:separator/>
      </w:r>
    </w:p>
  </w:footnote>
  <w:footnote w:type="continuationSeparator" w:id="0">
    <w:p w14:paraId="2C56BA7F" w14:textId="77777777" w:rsidR="00543D30" w:rsidRDefault="0054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9E98" w14:textId="77777777" w:rsidR="00B94D52" w:rsidRDefault="00B94D52">
    <w:pPr>
      <w:pStyle w:val="Header"/>
    </w:pPr>
  </w:p>
  <w:p w14:paraId="6AABD42E" w14:textId="77777777" w:rsidR="00B94D52" w:rsidRDefault="00B94D52"/>
  <w:p w14:paraId="5CF7D3EF" w14:textId="77777777" w:rsidR="00B94D52" w:rsidRDefault="00B94D52"/>
  <w:p w14:paraId="2A8A4EE4" w14:textId="77777777" w:rsidR="00B94D52" w:rsidRDefault="00B9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7"/>
      <w:gridCol w:w="6745"/>
      <w:gridCol w:w="1076"/>
    </w:tblGrid>
    <w:tr w:rsidR="00B94D52" w14:paraId="3C385832" w14:textId="77777777" w:rsidTr="00167456">
      <w:trPr>
        <w:cantSplit/>
      </w:trPr>
      <w:tc>
        <w:tcPr>
          <w:tcW w:w="938" w:type="pct"/>
          <w:tcBorders>
            <w:top w:val="single" w:sz="4" w:space="0" w:color="auto"/>
            <w:left w:val="single" w:sz="4" w:space="0" w:color="auto"/>
            <w:bottom w:val="single" w:sz="4" w:space="0" w:color="auto"/>
            <w:right w:val="single" w:sz="4" w:space="0" w:color="auto"/>
          </w:tcBorders>
        </w:tcPr>
        <w:p w14:paraId="2A61DF66" w14:textId="77777777" w:rsidR="00B94D52" w:rsidRDefault="00B94D52">
          <w:pPr>
            <w:pStyle w:val="Header"/>
          </w:pPr>
          <w:r>
            <w:t xml:space="preserve">Numurs: </w:t>
          </w:r>
          <w:bookmarkStart w:id="0" w:name="DocNum_2"/>
          <w:r w:rsidR="00111D43">
            <w:t>K163</w:t>
          </w:r>
          <w:bookmarkEnd w:id="0"/>
        </w:p>
        <w:p w14:paraId="07C40C6C" w14:textId="77777777" w:rsidR="00B94D52" w:rsidRDefault="00B94D52" w:rsidP="00D868F3">
          <w:pPr>
            <w:pStyle w:val="Header"/>
          </w:pPr>
          <w:r>
            <w:t xml:space="preserve">Redakcija: </w:t>
          </w:r>
          <w:bookmarkStart w:id="1" w:name="DocVers_2"/>
          <w:r w:rsidR="00111D43">
            <w:t>03</w:t>
          </w:r>
          <w:bookmarkEnd w:id="1"/>
        </w:p>
      </w:tc>
      <w:tc>
        <w:tcPr>
          <w:tcW w:w="3503" w:type="pct"/>
          <w:tcBorders>
            <w:top w:val="single" w:sz="4" w:space="0" w:color="auto"/>
            <w:left w:val="single" w:sz="4" w:space="0" w:color="auto"/>
            <w:bottom w:val="single" w:sz="4" w:space="0" w:color="auto"/>
            <w:right w:val="single" w:sz="4" w:space="0" w:color="auto"/>
          </w:tcBorders>
        </w:tcPr>
        <w:p w14:paraId="071D3FD6" w14:textId="77777777" w:rsidR="00B94D52" w:rsidRDefault="00B94D52">
          <w:pPr>
            <w:pStyle w:val="Header"/>
            <w:rPr>
              <w:sz w:val="20"/>
            </w:rPr>
          </w:pPr>
          <w:r>
            <w:rPr>
              <w:sz w:val="20"/>
            </w:rPr>
            <w:t xml:space="preserve"> </w:t>
          </w:r>
          <w:bookmarkStart w:id="2" w:name="DocTypeName"/>
          <w:r w:rsidR="000121CD">
            <w:rPr>
              <w:sz w:val="20"/>
            </w:rPr>
            <w:t>Kārtība</w:t>
          </w:r>
          <w:bookmarkEnd w:id="2"/>
          <w:r>
            <w:rPr>
              <w:sz w:val="20"/>
            </w:rPr>
            <w:t xml:space="preserve"> </w:t>
          </w:r>
        </w:p>
        <w:p w14:paraId="0826BBDA" w14:textId="77777777" w:rsidR="00B94D52" w:rsidRPr="00D868F3" w:rsidRDefault="00B94D52" w:rsidP="000121CD">
          <w:pPr>
            <w:pStyle w:val="Header"/>
            <w:rPr>
              <w:bCs/>
              <w:sz w:val="20"/>
            </w:rPr>
          </w:pPr>
          <w:r>
            <w:rPr>
              <w:b/>
              <w:bCs/>
              <w:sz w:val="20"/>
            </w:rPr>
            <w:t xml:space="preserve"> </w:t>
          </w:r>
          <w:bookmarkStart w:id="3" w:name="DocName"/>
          <w:r w:rsidR="000121CD">
            <w:rPr>
              <w:bCs/>
              <w:sz w:val="20"/>
            </w:rPr>
            <w:t>Kārtība kādā izpildāmi zemes darbi AS "Latvenergo" TEC Tehniskās vadības funkcijas objektos</w:t>
          </w:r>
          <w:bookmarkEnd w:id="3"/>
          <w:r w:rsidRPr="00D868F3">
            <w:rPr>
              <w:bCs/>
              <w:sz w:val="20"/>
            </w:rPr>
            <w:t xml:space="preserve"> </w:t>
          </w:r>
        </w:p>
      </w:tc>
      <w:tc>
        <w:tcPr>
          <w:tcW w:w="560" w:type="pct"/>
          <w:tcBorders>
            <w:top w:val="single" w:sz="4" w:space="0" w:color="auto"/>
            <w:left w:val="single" w:sz="4" w:space="0" w:color="auto"/>
            <w:bottom w:val="single" w:sz="4" w:space="0" w:color="auto"/>
            <w:right w:val="single" w:sz="4" w:space="0" w:color="auto"/>
          </w:tcBorders>
        </w:tcPr>
        <w:p w14:paraId="51015C22" w14:textId="77777777" w:rsidR="00B94D52" w:rsidRDefault="00B94D52">
          <w:pPr>
            <w:pStyle w:val="Header"/>
          </w:pPr>
          <w:r>
            <w:t xml:space="preserve">Lapa </w:t>
          </w:r>
          <w:r>
            <w:rPr>
              <w:rStyle w:val="PageNumber"/>
            </w:rPr>
            <w:fldChar w:fldCharType="begin"/>
          </w:r>
          <w:r>
            <w:rPr>
              <w:rStyle w:val="PageNumber"/>
            </w:rPr>
            <w:instrText xml:space="preserve"> PAGE </w:instrText>
          </w:r>
          <w:r>
            <w:rPr>
              <w:rStyle w:val="PageNumber"/>
            </w:rPr>
            <w:fldChar w:fldCharType="separate"/>
          </w:r>
          <w:r w:rsidR="00167456">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167456">
            <w:rPr>
              <w:rStyle w:val="PageNumber"/>
              <w:noProof/>
            </w:rPr>
            <w:t>2</w:t>
          </w:r>
          <w:r>
            <w:rPr>
              <w:rStyle w:val="PageNumber"/>
            </w:rPr>
            <w:fldChar w:fldCharType="end"/>
          </w:r>
          <w:r>
            <w:rPr>
              <w:rStyle w:val="PageNumber"/>
            </w:rPr>
            <w:t>)</w:t>
          </w:r>
        </w:p>
      </w:tc>
    </w:tr>
  </w:tbl>
  <w:p w14:paraId="589C59D1" w14:textId="77777777" w:rsidR="00B94D52" w:rsidRDefault="00B94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9"/>
      <w:gridCol w:w="3268"/>
      <w:gridCol w:w="1065"/>
      <w:gridCol w:w="1084"/>
      <w:gridCol w:w="1082"/>
    </w:tblGrid>
    <w:tr w:rsidR="005D579C" w14:paraId="0256C874" w14:textId="77777777" w:rsidTr="00167456">
      <w:trPr>
        <w:cantSplit/>
        <w:trHeight w:val="370"/>
      </w:trPr>
      <w:tc>
        <w:tcPr>
          <w:tcW w:w="1625" w:type="pct"/>
          <w:vMerge w:val="restart"/>
          <w:tcBorders>
            <w:top w:val="single" w:sz="4" w:space="0" w:color="auto"/>
            <w:right w:val="single" w:sz="4" w:space="0" w:color="auto"/>
          </w:tcBorders>
        </w:tcPr>
        <w:p w14:paraId="6D2D18D7" w14:textId="39FACDBD" w:rsidR="00101DA8" w:rsidRDefault="00C32B7A" w:rsidP="00946C16">
          <w:pPr>
            <w:spacing w:before="60" w:after="60"/>
            <w:ind w:hanging="119"/>
            <w:jc w:val="center"/>
            <w:rPr>
              <w:color w:val="000080"/>
              <w:sz w:val="20"/>
            </w:rPr>
          </w:pPr>
          <w:r>
            <w:rPr>
              <w:noProof/>
              <w:sz w:val="20"/>
            </w:rPr>
            <w:drawing>
              <wp:inline distT="0" distB="0" distL="0" distR="0" wp14:anchorId="08F327C0" wp14:editId="60B9262F">
                <wp:extent cx="184404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228600"/>
                        </a:xfrm>
                        <a:prstGeom prst="rect">
                          <a:avLst/>
                        </a:prstGeom>
                        <a:noFill/>
                        <a:ln>
                          <a:noFill/>
                        </a:ln>
                      </pic:spPr>
                    </pic:pic>
                  </a:graphicData>
                </a:graphic>
              </wp:inline>
            </w:drawing>
          </w:r>
        </w:p>
        <w:p w14:paraId="761EEAE9" w14:textId="77777777" w:rsidR="00101DA8" w:rsidRPr="00101DA8" w:rsidRDefault="00C1079A" w:rsidP="00C1079A">
          <w:pPr>
            <w:spacing w:after="60"/>
            <w:jc w:val="left"/>
            <w:rPr>
              <w:color w:val="000080"/>
              <w:sz w:val="14"/>
              <w:szCs w:val="14"/>
            </w:rPr>
          </w:pPr>
          <w:bookmarkStart w:id="4" w:name="Company"/>
          <w:r>
            <w:rPr>
              <w:color w:val="000080"/>
              <w:sz w:val="14"/>
              <w:szCs w:val="14"/>
            </w:rPr>
            <w:t>Sabiedrības nosaukums</w:t>
          </w:r>
          <w:bookmarkEnd w:id="4"/>
        </w:p>
        <w:p w14:paraId="1B26E1C3" w14:textId="77777777" w:rsidR="005D579C" w:rsidRPr="00C1079A" w:rsidRDefault="00C1079A" w:rsidP="00C1079A">
          <w:pPr>
            <w:spacing w:after="60"/>
            <w:jc w:val="left"/>
            <w:rPr>
              <w:color w:val="000080"/>
              <w:sz w:val="14"/>
              <w:szCs w:val="14"/>
            </w:rPr>
          </w:pPr>
          <w:bookmarkStart w:id="5" w:name="CompanyID"/>
          <w:r>
            <w:rPr>
              <w:color w:val="000080"/>
              <w:sz w:val="14"/>
              <w:szCs w:val="14"/>
            </w:rPr>
            <w:t>Reģistrācijas numurs</w:t>
          </w:r>
          <w:bookmarkEnd w:id="5"/>
        </w:p>
      </w:tc>
      <w:tc>
        <w:tcPr>
          <w:tcW w:w="2813" w:type="pct"/>
          <w:gridSpan w:val="3"/>
          <w:vMerge w:val="restart"/>
          <w:tcBorders>
            <w:top w:val="single" w:sz="4" w:space="0" w:color="auto"/>
            <w:left w:val="single" w:sz="4" w:space="0" w:color="auto"/>
          </w:tcBorders>
        </w:tcPr>
        <w:p w14:paraId="3DAFA5B8" w14:textId="77777777" w:rsidR="005D579C" w:rsidRDefault="000121CD">
          <w:pPr>
            <w:pStyle w:val="Header"/>
            <w:rPr>
              <w:sz w:val="20"/>
            </w:rPr>
          </w:pPr>
          <w:bookmarkStart w:id="6" w:name="DocTypeName_2"/>
          <w:r>
            <w:rPr>
              <w:sz w:val="20"/>
            </w:rPr>
            <w:t>Kārtība</w:t>
          </w:r>
        </w:p>
        <w:p w14:paraId="1675604F" w14:textId="77777777" w:rsidR="005D579C" w:rsidRDefault="000121CD" w:rsidP="000121CD">
          <w:pPr>
            <w:pStyle w:val="Header"/>
            <w:rPr>
              <w:sz w:val="20"/>
            </w:rPr>
          </w:pPr>
          <w:bookmarkStart w:id="7" w:name="DocName_2"/>
          <w:bookmarkEnd w:id="6"/>
          <w:r>
            <w:rPr>
              <w:b/>
              <w:bCs/>
              <w:sz w:val="20"/>
            </w:rPr>
            <w:t>Kārtība kādā izpildāmi zemes darbi AS "Latvenergo" TEC Tehniskās vadības funkcijas objektos</w:t>
          </w:r>
          <w:bookmarkEnd w:id="7"/>
          <w:r w:rsidR="005D579C">
            <w:rPr>
              <w:b/>
              <w:bCs/>
              <w:sz w:val="20"/>
            </w:rPr>
            <w:t xml:space="preserve"> </w:t>
          </w:r>
        </w:p>
      </w:tc>
      <w:tc>
        <w:tcPr>
          <w:tcW w:w="563" w:type="pct"/>
          <w:tcBorders>
            <w:top w:val="single" w:sz="4" w:space="0" w:color="auto"/>
            <w:left w:val="single" w:sz="4" w:space="0" w:color="auto"/>
            <w:bottom w:val="single" w:sz="4" w:space="0" w:color="auto"/>
          </w:tcBorders>
        </w:tcPr>
        <w:p w14:paraId="2FFC6FB9" w14:textId="77777777" w:rsidR="005D579C" w:rsidRDefault="005D579C" w:rsidP="00F50DF3">
          <w:pPr>
            <w:pStyle w:val="Header"/>
          </w:pPr>
          <w:r>
            <w:t xml:space="preserve">Lapa </w:t>
          </w:r>
          <w:r>
            <w:rPr>
              <w:rStyle w:val="PageNumber"/>
            </w:rPr>
            <w:fldChar w:fldCharType="begin"/>
          </w:r>
          <w:r>
            <w:rPr>
              <w:rStyle w:val="PageNumber"/>
            </w:rPr>
            <w:instrText xml:space="preserve"> PAGE </w:instrText>
          </w:r>
          <w:r>
            <w:rPr>
              <w:rStyle w:val="PageNumber"/>
            </w:rPr>
            <w:fldChar w:fldCharType="separate"/>
          </w:r>
          <w:r w:rsidR="00946C16">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946C16">
            <w:rPr>
              <w:rStyle w:val="PageNumber"/>
              <w:noProof/>
            </w:rPr>
            <w:t>1</w:t>
          </w:r>
          <w:r>
            <w:rPr>
              <w:rStyle w:val="PageNumber"/>
            </w:rPr>
            <w:fldChar w:fldCharType="end"/>
          </w:r>
          <w:r>
            <w:rPr>
              <w:rStyle w:val="PageNumber"/>
            </w:rPr>
            <w:t>)</w:t>
          </w:r>
        </w:p>
      </w:tc>
    </w:tr>
    <w:tr w:rsidR="005D579C" w14:paraId="498F7E81" w14:textId="77777777" w:rsidTr="00167456">
      <w:trPr>
        <w:cantSplit/>
        <w:trHeight w:val="370"/>
      </w:trPr>
      <w:tc>
        <w:tcPr>
          <w:tcW w:w="1625" w:type="pct"/>
          <w:vMerge/>
          <w:tcBorders>
            <w:bottom w:val="single" w:sz="4" w:space="0" w:color="auto"/>
            <w:right w:val="single" w:sz="4" w:space="0" w:color="auto"/>
          </w:tcBorders>
        </w:tcPr>
        <w:p w14:paraId="5654BF1D" w14:textId="77777777" w:rsidR="005D579C" w:rsidRDefault="005D579C">
          <w:pPr>
            <w:pStyle w:val="Header"/>
          </w:pPr>
        </w:p>
      </w:tc>
      <w:tc>
        <w:tcPr>
          <w:tcW w:w="2813" w:type="pct"/>
          <w:gridSpan w:val="3"/>
          <w:vMerge/>
          <w:tcBorders>
            <w:left w:val="single" w:sz="4" w:space="0" w:color="auto"/>
            <w:bottom w:val="single" w:sz="4" w:space="0" w:color="auto"/>
          </w:tcBorders>
        </w:tcPr>
        <w:p w14:paraId="0C34A57D" w14:textId="77777777" w:rsidR="005D579C" w:rsidRDefault="005D579C">
          <w:pPr>
            <w:pStyle w:val="Header"/>
            <w:rPr>
              <w:sz w:val="20"/>
            </w:rPr>
          </w:pPr>
        </w:p>
      </w:tc>
      <w:tc>
        <w:tcPr>
          <w:tcW w:w="563" w:type="pct"/>
          <w:tcBorders>
            <w:top w:val="single" w:sz="4" w:space="0" w:color="auto"/>
            <w:left w:val="single" w:sz="4" w:space="0" w:color="auto"/>
            <w:bottom w:val="single" w:sz="4" w:space="0" w:color="auto"/>
          </w:tcBorders>
        </w:tcPr>
        <w:p w14:paraId="5ABD70BE" w14:textId="77777777" w:rsidR="003645D9" w:rsidRDefault="003645D9" w:rsidP="003645D9">
          <w:pPr>
            <w:pStyle w:val="Header"/>
          </w:pPr>
          <w:r>
            <w:t>Numurs:</w:t>
          </w:r>
          <w:r w:rsidR="000121CD">
            <w:t xml:space="preserve"> </w:t>
          </w:r>
          <w:bookmarkStart w:id="8" w:name="DocNum"/>
          <w:r w:rsidR="001E42E3">
            <w:t>K163</w:t>
          </w:r>
          <w:bookmarkEnd w:id="8"/>
        </w:p>
        <w:p w14:paraId="309B1C0A" w14:textId="77777777" w:rsidR="005D579C" w:rsidRDefault="003645D9" w:rsidP="007307F5">
          <w:pPr>
            <w:pStyle w:val="Header"/>
          </w:pPr>
          <w:r>
            <w:t>Redakcija:</w:t>
          </w:r>
          <w:bookmarkStart w:id="9" w:name="DocVers"/>
          <w:r w:rsidR="000121CD">
            <w:t>03</w:t>
          </w:r>
          <w:bookmarkEnd w:id="9"/>
          <w:r w:rsidR="00111D43">
            <w:t xml:space="preserve"> </w:t>
          </w:r>
        </w:p>
      </w:tc>
    </w:tr>
    <w:tr w:rsidR="007307F5" w14:paraId="0ECB14AB" w14:textId="77777777" w:rsidTr="00167456">
      <w:trPr>
        <w:cantSplit/>
      </w:trPr>
      <w:tc>
        <w:tcPr>
          <w:tcW w:w="3322" w:type="pct"/>
          <w:gridSpan w:val="2"/>
          <w:tcBorders>
            <w:top w:val="single" w:sz="4" w:space="0" w:color="auto"/>
            <w:left w:val="single" w:sz="4" w:space="0" w:color="auto"/>
            <w:bottom w:val="single" w:sz="4" w:space="0" w:color="auto"/>
            <w:right w:val="single" w:sz="4" w:space="0" w:color="auto"/>
          </w:tcBorders>
        </w:tcPr>
        <w:tbl>
          <w:tblPr>
            <w:tblW w:w="5000" w:type="pct"/>
            <w:tblCellMar>
              <w:left w:w="0" w:type="dxa"/>
              <w:right w:w="0" w:type="dxa"/>
            </w:tblCellMar>
            <w:tblLook w:val="04A0" w:firstRow="1" w:lastRow="0" w:firstColumn="1" w:lastColumn="0" w:noHBand="0" w:noVBand="1"/>
          </w:tblPr>
          <w:tblGrid>
            <w:gridCol w:w="1069"/>
            <w:gridCol w:w="5112"/>
          </w:tblGrid>
          <w:tr w:rsidR="005E060C" w14:paraId="62433C1B" w14:textId="77777777" w:rsidTr="00167456">
            <w:tc>
              <w:tcPr>
                <w:tcW w:w="1064" w:type="dxa"/>
              </w:tcPr>
              <w:p w14:paraId="20F4F0A9" w14:textId="77777777" w:rsidR="000121CD" w:rsidRDefault="000121CD" w:rsidP="003645D9">
                <w:pPr>
                  <w:pStyle w:val="Header"/>
                </w:pPr>
                <w:r>
                  <w:t>Sagatavoja:</w:t>
                </w:r>
              </w:p>
            </w:tc>
            <w:tc>
              <w:tcPr>
                <w:tcW w:w="5089" w:type="dxa"/>
              </w:tcPr>
              <w:p w14:paraId="6FC1360B" w14:textId="77777777" w:rsidR="000121CD" w:rsidRDefault="000121CD" w:rsidP="003645D9">
                <w:pPr>
                  <w:pStyle w:val="Header"/>
                </w:pPr>
                <w:bookmarkStart w:id="10" w:name="Author"/>
                <w:r>
                  <w:t>Būvinženieris, Daiga Krūmiņa</w:t>
                </w:r>
                <w:bookmarkEnd w:id="10"/>
              </w:p>
            </w:tc>
          </w:tr>
          <w:tr w:rsidR="005E060C" w14:paraId="72E2FC96" w14:textId="77777777" w:rsidTr="00167456">
            <w:tc>
              <w:tcPr>
                <w:tcW w:w="1064" w:type="dxa"/>
              </w:tcPr>
              <w:p w14:paraId="4865B83E" w14:textId="77777777" w:rsidR="000121CD" w:rsidRDefault="000121CD" w:rsidP="003645D9">
                <w:pPr>
                  <w:pStyle w:val="Header"/>
                </w:pPr>
                <w:r>
                  <w:t>Apstiprināja:</w:t>
                </w:r>
              </w:p>
            </w:tc>
            <w:tc>
              <w:tcPr>
                <w:tcW w:w="5089" w:type="dxa"/>
              </w:tcPr>
              <w:p w14:paraId="0159F39A" w14:textId="77777777" w:rsidR="000121CD" w:rsidRDefault="000121CD" w:rsidP="003645D9">
                <w:pPr>
                  <w:pStyle w:val="Header"/>
                </w:pPr>
                <w:bookmarkStart w:id="11" w:name="DocApprover"/>
                <w:r>
                  <w:t>Ražotnes vadītājs, Andrejs Zihičs, 2025. gada 10. septembrī</w:t>
                </w:r>
                <w:bookmarkEnd w:id="11"/>
              </w:p>
            </w:tc>
          </w:tr>
          <w:tr w:rsidR="005E060C" w14:paraId="5BACFF89" w14:textId="77777777" w:rsidTr="00167456">
            <w:tc>
              <w:tcPr>
                <w:tcW w:w="1064" w:type="dxa"/>
              </w:tcPr>
              <w:p w14:paraId="0900F5B1" w14:textId="65779061" w:rsidR="000121CD" w:rsidRDefault="000121CD" w:rsidP="003645D9">
                <w:pPr>
                  <w:pStyle w:val="Header"/>
                </w:pPr>
              </w:p>
            </w:tc>
            <w:tc>
              <w:tcPr>
                <w:tcW w:w="5089" w:type="dxa"/>
              </w:tcPr>
              <w:p w14:paraId="04DE353C" w14:textId="6A351A83" w:rsidR="000121CD" w:rsidRDefault="000121CD" w:rsidP="003645D9">
                <w:pPr>
                  <w:pStyle w:val="Header"/>
                </w:pPr>
              </w:p>
            </w:tc>
          </w:tr>
        </w:tbl>
        <w:p w14:paraId="16D40237" w14:textId="77777777" w:rsidR="007307F5" w:rsidRDefault="007307F5" w:rsidP="000121CD">
          <w:pPr>
            <w:pStyle w:val="Header"/>
          </w:pPr>
        </w:p>
      </w:tc>
      <w:tc>
        <w:tcPr>
          <w:tcW w:w="553" w:type="pct"/>
          <w:tcBorders>
            <w:top w:val="single" w:sz="4" w:space="0" w:color="auto"/>
            <w:left w:val="single" w:sz="4" w:space="0" w:color="auto"/>
            <w:bottom w:val="single" w:sz="4" w:space="0" w:color="auto"/>
            <w:right w:val="single" w:sz="4" w:space="0" w:color="auto"/>
          </w:tcBorders>
        </w:tcPr>
        <w:p w14:paraId="5E65AA7B" w14:textId="77777777" w:rsidR="003645D9" w:rsidRDefault="003645D9" w:rsidP="003645D9">
          <w:pPr>
            <w:pStyle w:val="Header"/>
          </w:pPr>
          <w:r>
            <w:t>Dokuments spēkā no:</w:t>
          </w:r>
        </w:p>
        <w:p w14:paraId="7D4A1ADB" w14:textId="77777777" w:rsidR="007307F5" w:rsidRDefault="003645D9" w:rsidP="000121CD">
          <w:pPr>
            <w:pStyle w:val="Header"/>
          </w:pPr>
          <w:bookmarkStart w:id="12" w:name="StartDate_2"/>
          <w:r>
            <w:t>17.10.2011</w:t>
          </w:r>
          <w:bookmarkEnd w:id="12"/>
        </w:p>
      </w:tc>
      <w:tc>
        <w:tcPr>
          <w:tcW w:w="563" w:type="pct"/>
          <w:tcBorders>
            <w:top w:val="single" w:sz="4" w:space="0" w:color="auto"/>
            <w:left w:val="single" w:sz="4" w:space="0" w:color="auto"/>
            <w:bottom w:val="single" w:sz="4" w:space="0" w:color="auto"/>
            <w:right w:val="single" w:sz="4" w:space="0" w:color="auto"/>
          </w:tcBorders>
        </w:tcPr>
        <w:p w14:paraId="1EF52C29" w14:textId="77777777" w:rsidR="007307F5" w:rsidRDefault="007307F5">
          <w:pPr>
            <w:pStyle w:val="Header"/>
          </w:pPr>
          <w:r>
            <w:t>Redakcija spēkā no:</w:t>
          </w:r>
        </w:p>
        <w:p w14:paraId="3EABEA40" w14:textId="77777777" w:rsidR="007307F5" w:rsidRDefault="000121CD">
          <w:pPr>
            <w:pStyle w:val="Header"/>
          </w:pPr>
          <w:bookmarkStart w:id="13" w:name="DocVersStartDate"/>
          <w:r>
            <w:t>10.09.2025</w:t>
          </w:r>
          <w:bookmarkEnd w:id="13"/>
        </w:p>
      </w:tc>
      <w:tc>
        <w:tcPr>
          <w:tcW w:w="563" w:type="pct"/>
          <w:tcBorders>
            <w:top w:val="single" w:sz="4" w:space="0" w:color="auto"/>
            <w:left w:val="single" w:sz="4" w:space="0" w:color="auto"/>
            <w:bottom w:val="single" w:sz="4" w:space="0" w:color="auto"/>
            <w:right w:val="single" w:sz="4" w:space="0" w:color="auto"/>
          </w:tcBorders>
        </w:tcPr>
        <w:p w14:paraId="64466C6B" w14:textId="77777777" w:rsidR="002E7E6A" w:rsidRDefault="00484B81" w:rsidP="002B4DBE">
          <w:pPr>
            <w:pStyle w:val="Header"/>
          </w:pPr>
          <w:r>
            <w:t>S</w:t>
          </w:r>
          <w:r w:rsidR="007307F5">
            <w:t>pēkā līdz</w:t>
          </w:r>
          <w:r w:rsidR="002B4DBE">
            <w:t>:</w:t>
          </w:r>
        </w:p>
        <w:p w14:paraId="7CBA3689" w14:textId="77777777" w:rsidR="007307F5" w:rsidRPr="004D2367" w:rsidRDefault="002B4DBE" w:rsidP="002B4DBE">
          <w:pPr>
            <w:pStyle w:val="Header"/>
            <w:rPr>
              <w:szCs w:val="16"/>
            </w:rPr>
          </w:pPr>
          <w:r>
            <w:t xml:space="preserve"> </w:t>
          </w:r>
          <w:bookmarkStart w:id="14" w:name="ControlDate_2"/>
          <w:r>
            <w:t>-</w:t>
          </w:r>
          <w:bookmarkEnd w:id="14"/>
        </w:p>
      </w:tc>
    </w:tr>
  </w:tbl>
  <w:p w14:paraId="1FE49101" w14:textId="77777777" w:rsidR="00B94D52" w:rsidRDefault="00B94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4C40A6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9A2F24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1DC734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94A24F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C7BCEF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E33D33"/>
    <w:multiLevelType w:val="hybridMultilevel"/>
    <w:tmpl w:val="F7AC37BE"/>
    <w:lvl w:ilvl="0" w:tplc="3D9841B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F1BE0"/>
    <w:multiLevelType w:val="multilevel"/>
    <w:tmpl w:val="E1562C7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11E47DF0"/>
    <w:multiLevelType w:val="hybridMultilevel"/>
    <w:tmpl w:val="71761BF4"/>
    <w:lvl w:ilvl="0" w:tplc="AC04C748">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655D6"/>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F2115C"/>
    <w:multiLevelType w:val="hybridMultilevel"/>
    <w:tmpl w:val="E856ADCA"/>
    <w:lvl w:ilvl="0" w:tplc="C1C891FE">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DE5687"/>
    <w:multiLevelType w:val="hybridMultilevel"/>
    <w:tmpl w:val="992A5F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9D779F"/>
    <w:multiLevelType w:val="hybridMultilevel"/>
    <w:tmpl w:val="CB0AF866"/>
    <w:lvl w:ilvl="0" w:tplc="B0702C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506D5F"/>
    <w:multiLevelType w:val="hybridMultilevel"/>
    <w:tmpl w:val="0B4A95D0"/>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3" w15:restartNumberingAfterBreak="0">
    <w:nsid w:val="37E457D0"/>
    <w:multiLevelType w:val="hybridMultilevel"/>
    <w:tmpl w:val="00E801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7F44C85"/>
    <w:multiLevelType w:val="hybridMultilevel"/>
    <w:tmpl w:val="F424A8E4"/>
    <w:lvl w:ilvl="0" w:tplc="C76AAEB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210F0A"/>
    <w:multiLevelType w:val="hybridMultilevel"/>
    <w:tmpl w:val="8A846EEE"/>
    <w:lvl w:ilvl="0" w:tplc="49968B9C">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465B6293"/>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280C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C242D10"/>
    <w:multiLevelType w:val="hybridMultilevel"/>
    <w:tmpl w:val="42C02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241F5B"/>
    <w:multiLevelType w:val="multilevel"/>
    <w:tmpl w:val="CB0AF866"/>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00083"/>
    <w:multiLevelType w:val="hybridMultilevel"/>
    <w:tmpl w:val="4754DD16"/>
    <w:lvl w:ilvl="0" w:tplc="77382C6E">
      <w:start w:val="1"/>
      <w:numFmt w:val="lowerLetter"/>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F4754A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24102F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62B150F"/>
    <w:multiLevelType w:val="multilevel"/>
    <w:tmpl w:val="B7ACB9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5667244">
    <w:abstractNumId w:val="10"/>
  </w:num>
  <w:num w:numId="2" w16cid:durableId="25065201">
    <w:abstractNumId w:val="20"/>
  </w:num>
  <w:num w:numId="3" w16cid:durableId="1542327706">
    <w:abstractNumId w:val="23"/>
  </w:num>
  <w:num w:numId="4" w16cid:durableId="810513002">
    <w:abstractNumId w:val="14"/>
  </w:num>
  <w:num w:numId="5" w16cid:durableId="400643462">
    <w:abstractNumId w:val="13"/>
  </w:num>
  <w:num w:numId="6" w16cid:durableId="1091658117">
    <w:abstractNumId w:val="6"/>
  </w:num>
  <w:num w:numId="7" w16cid:durableId="411322369">
    <w:abstractNumId w:val="11"/>
  </w:num>
  <w:num w:numId="8" w16cid:durableId="1879735558">
    <w:abstractNumId w:val="19"/>
  </w:num>
  <w:num w:numId="9" w16cid:durableId="864099425">
    <w:abstractNumId w:val="5"/>
  </w:num>
  <w:num w:numId="10" w16cid:durableId="1735735726">
    <w:abstractNumId w:val="9"/>
  </w:num>
  <w:num w:numId="11" w16cid:durableId="796295076">
    <w:abstractNumId w:val="4"/>
  </w:num>
  <w:num w:numId="12" w16cid:durableId="2122919874">
    <w:abstractNumId w:val="2"/>
  </w:num>
  <w:num w:numId="13" w16cid:durableId="1024870512">
    <w:abstractNumId w:val="1"/>
  </w:num>
  <w:num w:numId="14" w16cid:durableId="198591561">
    <w:abstractNumId w:val="0"/>
  </w:num>
  <w:num w:numId="15" w16cid:durableId="1966883904">
    <w:abstractNumId w:val="3"/>
  </w:num>
  <w:num w:numId="16" w16cid:durableId="1013606060">
    <w:abstractNumId w:val="7"/>
  </w:num>
  <w:num w:numId="17" w16cid:durableId="1411846887">
    <w:abstractNumId w:val="16"/>
  </w:num>
  <w:num w:numId="18" w16cid:durableId="1769613576">
    <w:abstractNumId w:val="8"/>
  </w:num>
  <w:num w:numId="19" w16cid:durableId="275794786">
    <w:abstractNumId w:val="21"/>
  </w:num>
  <w:num w:numId="20" w16cid:durableId="61800881">
    <w:abstractNumId w:val="22"/>
  </w:num>
  <w:num w:numId="21" w16cid:durableId="1962415235">
    <w:abstractNumId w:val="17"/>
  </w:num>
  <w:num w:numId="22" w16cid:durableId="1504777822">
    <w:abstractNumId w:val="18"/>
  </w:num>
  <w:num w:numId="23" w16cid:durableId="62680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4967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B1"/>
    <w:rsid w:val="000121CD"/>
    <w:rsid w:val="00024DDC"/>
    <w:rsid w:val="00047921"/>
    <w:rsid w:val="00054559"/>
    <w:rsid w:val="00101DA8"/>
    <w:rsid w:val="00111D43"/>
    <w:rsid w:val="00123EC8"/>
    <w:rsid w:val="00130BF3"/>
    <w:rsid w:val="001329AD"/>
    <w:rsid w:val="00134BA0"/>
    <w:rsid w:val="00167456"/>
    <w:rsid w:val="0017147A"/>
    <w:rsid w:val="001E0662"/>
    <w:rsid w:val="001E42E3"/>
    <w:rsid w:val="002050E9"/>
    <w:rsid w:val="00225096"/>
    <w:rsid w:val="0026373F"/>
    <w:rsid w:val="002A268F"/>
    <w:rsid w:val="002B4DBE"/>
    <w:rsid w:val="002D5EFE"/>
    <w:rsid w:val="002E7E6A"/>
    <w:rsid w:val="003138C7"/>
    <w:rsid w:val="003645D9"/>
    <w:rsid w:val="003814BE"/>
    <w:rsid w:val="00400C4E"/>
    <w:rsid w:val="004641AF"/>
    <w:rsid w:val="004750DA"/>
    <w:rsid w:val="00484B81"/>
    <w:rsid w:val="004A11C2"/>
    <w:rsid w:val="004A3E31"/>
    <w:rsid w:val="004C3B51"/>
    <w:rsid w:val="004D2367"/>
    <w:rsid w:val="004E003D"/>
    <w:rsid w:val="005043D2"/>
    <w:rsid w:val="00504942"/>
    <w:rsid w:val="00543D30"/>
    <w:rsid w:val="00597EE8"/>
    <w:rsid w:val="005B0E37"/>
    <w:rsid w:val="005C3686"/>
    <w:rsid w:val="005C7DF4"/>
    <w:rsid w:val="005D579C"/>
    <w:rsid w:val="005E060C"/>
    <w:rsid w:val="006073D3"/>
    <w:rsid w:val="00665C67"/>
    <w:rsid w:val="006753FF"/>
    <w:rsid w:val="007307F5"/>
    <w:rsid w:val="00761AD0"/>
    <w:rsid w:val="007C0A01"/>
    <w:rsid w:val="007D5CC7"/>
    <w:rsid w:val="008038CB"/>
    <w:rsid w:val="0081141A"/>
    <w:rsid w:val="008234D2"/>
    <w:rsid w:val="00850DA7"/>
    <w:rsid w:val="008E5FAE"/>
    <w:rsid w:val="008F0303"/>
    <w:rsid w:val="00924590"/>
    <w:rsid w:val="00935245"/>
    <w:rsid w:val="00946C16"/>
    <w:rsid w:val="00977752"/>
    <w:rsid w:val="009B07F2"/>
    <w:rsid w:val="009B1660"/>
    <w:rsid w:val="009E28D4"/>
    <w:rsid w:val="00A52068"/>
    <w:rsid w:val="00A57841"/>
    <w:rsid w:val="00A607EB"/>
    <w:rsid w:val="00AC0F4B"/>
    <w:rsid w:val="00AE5A53"/>
    <w:rsid w:val="00B94D52"/>
    <w:rsid w:val="00BE683A"/>
    <w:rsid w:val="00C1079A"/>
    <w:rsid w:val="00C142AF"/>
    <w:rsid w:val="00C14C5F"/>
    <w:rsid w:val="00C32B7A"/>
    <w:rsid w:val="00C36A7A"/>
    <w:rsid w:val="00C41C49"/>
    <w:rsid w:val="00C60741"/>
    <w:rsid w:val="00D35BDB"/>
    <w:rsid w:val="00D530DE"/>
    <w:rsid w:val="00D868F3"/>
    <w:rsid w:val="00DC3FE0"/>
    <w:rsid w:val="00E00F20"/>
    <w:rsid w:val="00E53BCF"/>
    <w:rsid w:val="00E97CF4"/>
    <w:rsid w:val="00EC5CB1"/>
    <w:rsid w:val="00EF127A"/>
    <w:rsid w:val="00EF35E8"/>
    <w:rsid w:val="00F45FD0"/>
    <w:rsid w:val="00F50DF3"/>
    <w:rsid w:val="00F50F25"/>
    <w:rsid w:val="00FA7316"/>
    <w:rsid w:val="00FB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7A9E2"/>
  <w15:chartTrackingRefBased/>
  <w15:docId w15:val="{8F498BF4-F2CB-4DE1-BEB9-E3A777A7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numPr>
        <w:numId w:val="10"/>
      </w:numPr>
      <w:tabs>
        <w:tab w:val="clear" w:pos="720"/>
      </w:tabs>
      <w:spacing w:before="600" w:after="240"/>
      <w:ind w:left="360"/>
      <w:jc w:val="left"/>
      <w:outlineLvl w:val="0"/>
    </w:pPr>
    <w:rPr>
      <w:b/>
      <w:sz w:val="28"/>
    </w:rPr>
  </w:style>
  <w:style w:type="paragraph" w:styleId="Heading2">
    <w:name w:val="heading 2"/>
    <w:basedOn w:val="Normal"/>
    <w:next w:val="Normal"/>
    <w:qFormat/>
    <w:pPr>
      <w:keepNext/>
      <w:spacing w:before="360" w:after="240"/>
      <w:jc w:val="left"/>
      <w:outlineLvl w:val="1"/>
    </w:pPr>
    <w:rPr>
      <w:b/>
      <w:i/>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bCs/>
      <w:vanish/>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240"/>
      </w:tabs>
      <w:spacing w:before="60"/>
      <w:jc w:val="left"/>
    </w:pPr>
    <w:rPr>
      <w:rFonts w:cs="Arial"/>
      <w:sz w:val="16"/>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BodyText2">
    <w:name w:val="Body Text 2"/>
    <w:basedOn w:val="Normal"/>
    <w:pPr>
      <w:jc w:val="left"/>
    </w:pPr>
    <w:rPr>
      <w:sz w:val="20"/>
      <w:szCs w:val="20"/>
    </w:rPr>
  </w:style>
  <w:style w:type="paragraph" w:styleId="Title">
    <w:name w:val="Title"/>
    <w:basedOn w:val="Normal"/>
    <w:qFormat/>
    <w:pPr>
      <w:jc w:val="center"/>
    </w:pPr>
    <w:rPr>
      <w:b/>
      <w:sz w:val="32"/>
    </w:rPr>
  </w:style>
  <w:style w:type="paragraph" w:styleId="BodyText">
    <w:name w:val="Body Text"/>
    <w:basedOn w:val="Normal"/>
  </w:style>
  <w:style w:type="paragraph" w:styleId="TOC1">
    <w:name w:val="toc 1"/>
    <w:basedOn w:val="Normal"/>
    <w:next w:val="Normal"/>
    <w:autoRedefine/>
    <w:semiHidden/>
    <w:pPr>
      <w:tabs>
        <w:tab w:val="left" w:pos="480"/>
        <w:tab w:val="right" w:leader="dot" w:pos="9345"/>
      </w:tabs>
      <w:spacing w:before="120" w:after="120"/>
      <w:jc w:val="left"/>
    </w:pPr>
    <w:rPr>
      <w:rFonts w:cs="Arial"/>
      <w:b/>
      <w:bCs/>
      <w:noProof/>
    </w:rPr>
  </w:style>
  <w:style w:type="paragraph" w:styleId="TOC2">
    <w:name w:val="toc 2"/>
    <w:basedOn w:val="Normal"/>
    <w:next w:val="Normal"/>
    <w:autoRedefine/>
    <w:semiHidden/>
    <w:pPr>
      <w:tabs>
        <w:tab w:val="right" w:leader="dot" w:pos="9345"/>
      </w:tabs>
      <w:ind w:left="240"/>
      <w:jc w:val="left"/>
    </w:pPr>
    <w:rPr>
      <w:rFonts w:cs="Arial"/>
      <w:noProof/>
    </w:rPr>
  </w:style>
  <w:style w:type="paragraph" w:styleId="TOC3">
    <w:name w:val="toc 3"/>
    <w:basedOn w:val="Normal"/>
    <w:next w:val="Normal"/>
    <w:autoRedefine/>
    <w:semiHidden/>
    <w:pPr>
      <w:ind w:left="480"/>
      <w:jc w:val="left"/>
    </w:pPr>
    <w:rPr>
      <w:i/>
      <w:iCs/>
    </w:rPr>
  </w:style>
  <w:style w:type="paragraph" w:styleId="TOC4">
    <w:name w:val="toc 4"/>
    <w:basedOn w:val="Normal"/>
    <w:next w:val="Normal"/>
    <w:autoRedefine/>
    <w:semiHidden/>
    <w:pPr>
      <w:ind w:left="720"/>
      <w:jc w:val="left"/>
    </w:pPr>
    <w:rPr>
      <w:szCs w:val="21"/>
    </w:rPr>
  </w:style>
  <w:style w:type="paragraph" w:styleId="TOC5">
    <w:name w:val="toc 5"/>
    <w:basedOn w:val="Normal"/>
    <w:next w:val="Normal"/>
    <w:autoRedefine/>
    <w:semiHidden/>
    <w:pPr>
      <w:ind w:left="960"/>
      <w:jc w:val="left"/>
    </w:pPr>
    <w:rPr>
      <w:szCs w:val="21"/>
    </w:rPr>
  </w:style>
  <w:style w:type="paragraph" w:styleId="TOC6">
    <w:name w:val="toc 6"/>
    <w:basedOn w:val="Normal"/>
    <w:next w:val="Normal"/>
    <w:autoRedefine/>
    <w:semiHidden/>
    <w:pPr>
      <w:ind w:left="1200"/>
      <w:jc w:val="left"/>
    </w:pPr>
    <w:rPr>
      <w:szCs w:val="21"/>
    </w:rPr>
  </w:style>
  <w:style w:type="paragraph" w:styleId="TOC7">
    <w:name w:val="toc 7"/>
    <w:basedOn w:val="Normal"/>
    <w:next w:val="Normal"/>
    <w:autoRedefine/>
    <w:semiHidden/>
    <w:pPr>
      <w:ind w:left="1440"/>
      <w:jc w:val="left"/>
    </w:pPr>
    <w:rPr>
      <w:szCs w:val="21"/>
    </w:rPr>
  </w:style>
  <w:style w:type="paragraph" w:styleId="TOC8">
    <w:name w:val="toc 8"/>
    <w:basedOn w:val="Normal"/>
    <w:next w:val="Normal"/>
    <w:autoRedefine/>
    <w:semiHidden/>
    <w:pPr>
      <w:ind w:left="1680"/>
      <w:jc w:val="left"/>
    </w:pPr>
    <w:rPr>
      <w:szCs w:val="21"/>
    </w:rPr>
  </w:style>
  <w:style w:type="paragraph" w:styleId="TOC9">
    <w:name w:val="toc 9"/>
    <w:basedOn w:val="Normal"/>
    <w:next w:val="Normal"/>
    <w:autoRedefine/>
    <w:semiHidden/>
    <w:pPr>
      <w:ind w:left="1920"/>
      <w:jc w:val="left"/>
    </w:pPr>
    <w:rPr>
      <w:szCs w:val="21"/>
    </w:rPr>
  </w:style>
  <w:style w:type="character" w:styleId="Hyperlink">
    <w:name w:val="Hyperlink"/>
    <w:rPr>
      <w:color w:val="0000FF"/>
      <w:u w:val="single"/>
    </w:rPr>
  </w:style>
  <w:style w:type="paragraph" w:styleId="BodyTextIndent">
    <w:name w:val="Body Text Indent"/>
    <w:basedOn w:val="Normal"/>
    <w:pPr>
      <w:ind w:left="5400"/>
    </w:pPr>
    <w:rPr>
      <w:color w:val="000080"/>
      <w:sz w:val="20"/>
    </w:rPr>
  </w:style>
  <w:style w:type="paragraph" w:styleId="ListBullet">
    <w:name w:val="List Bullet"/>
    <w:basedOn w:val="Normal"/>
    <w:autoRedefine/>
    <w:pPr>
      <w:numPr>
        <w:numId w:val="16"/>
      </w:numPr>
      <w:ind w:left="641" w:hanging="357"/>
    </w:pPr>
  </w:style>
  <w:style w:type="character" w:styleId="FollowedHyperlink">
    <w:name w:val="FollowedHyperlink"/>
    <w:rPr>
      <w:color w:val="800080"/>
      <w:u w:val="single"/>
    </w:rPr>
  </w:style>
  <w:style w:type="table" w:styleId="TableGrid">
    <w:name w:val="Table Grid"/>
    <w:basedOn w:val="TableNormal"/>
    <w:rsid w:val="0001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8481">
      <w:bodyDiv w:val="1"/>
      <w:marLeft w:val="0"/>
      <w:marRight w:val="0"/>
      <w:marTop w:val="0"/>
      <w:marBottom w:val="0"/>
      <w:divBdr>
        <w:top w:val="none" w:sz="0" w:space="0" w:color="auto"/>
        <w:left w:val="none" w:sz="0" w:space="0" w:color="auto"/>
        <w:bottom w:val="none" w:sz="0" w:space="0" w:color="auto"/>
        <w:right w:val="none" w:sz="0" w:space="0" w:color="auto"/>
      </w:divBdr>
    </w:div>
    <w:div w:id="140306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D713-6201-49C6-BB12-A07236F8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4202</Words>
  <Characters>2396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LATVENERGO AS</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urats</dc:creator>
  <cp:keywords/>
  <cp:lastModifiedBy>Sigita Veide</cp:lastModifiedBy>
  <cp:revision>2</cp:revision>
  <cp:lastPrinted>2015-08-07T10:44:00Z</cp:lastPrinted>
  <dcterms:created xsi:type="dcterms:W3CDTF">2025-10-31T12:18:00Z</dcterms:created>
  <dcterms:modified xsi:type="dcterms:W3CDTF">2025-10-31T12:18:00Z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IS_DOCUMENT">
    <vt:lpwstr>1</vt:lpwstr>
  </property>
  <property fmtid="{D5CDD505-2E9C-101B-9397-08002B2CF9AE}" pid="3" name="Company">
    <vt:lpwstr>Akciju sabiedrība "Latvenergo"</vt:lpwstr>
  </property>
  <property fmtid="{D5CDD505-2E9C-101B-9397-08002B2CF9AE}" pid="4" name="CompanyID">
    <vt:lpwstr>Vien. reģ. Nr. 40003032949</vt:lpwstr>
  </property>
  <property fmtid="{D5CDD505-2E9C-101B-9397-08002B2CF9AE}" pid="5" name="LotusNotesDocumentUNID">
    <vt:lpwstr>4AD25562933358ECC22580510048696B</vt:lpwstr>
  </property>
  <property fmtid="{D5CDD505-2E9C-101B-9397-08002B2CF9AE}" pid="6" name="LotusNotesTemplateDocumentCode">
    <vt:lpwstr>ODIS_DOCX</vt:lpwstr>
  </property>
</Properties>
</file>