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4AED" w14:textId="77777777" w:rsidR="00EE02BC" w:rsidRPr="00EE02BC" w:rsidRDefault="00EE02BC" w:rsidP="00EE02BC">
      <w:pPr>
        <w:jc w:val="center"/>
        <w:rPr>
          <w:b/>
          <w:bCs/>
        </w:rPr>
      </w:pPr>
      <w:r w:rsidRPr="00EE02BC">
        <w:rPr>
          <w:b/>
          <w:bCs/>
        </w:rPr>
        <w:t>TEHNISKĀ SPECIFIKĀCIJA</w:t>
      </w:r>
    </w:p>
    <w:p w14:paraId="4CAE390B" w14:textId="77777777" w:rsidR="00EE02BC" w:rsidRPr="00D04D7B" w:rsidRDefault="00EE02BC" w:rsidP="00EE02BC">
      <w:pPr>
        <w:pStyle w:val="Title"/>
        <w:rPr>
          <w:sz w:val="24"/>
          <w:szCs w:val="24"/>
        </w:rPr>
      </w:pPr>
    </w:p>
    <w:p w14:paraId="52CF37C2" w14:textId="77777777" w:rsidR="00EE02BC" w:rsidRPr="00D04D7B" w:rsidRDefault="00EE02BC" w:rsidP="00EE02BC">
      <w:pPr>
        <w:widowControl w:val="0"/>
        <w:jc w:val="both"/>
      </w:pPr>
      <w:r w:rsidRPr="00D04D7B">
        <w:t>Pasūtītājs uzaicina Pretendentus sagatavot un iesniegt piedāvājumus sekojošu AS "Latvenergo" objekt</w:t>
      </w:r>
      <w:r>
        <w:t xml:space="preserve">a TEC 2 pirmā un otrā energobloka </w:t>
      </w:r>
      <w:r w:rsidRPr="00D04D7B">
        <w:t xml:space="preserve">īpašuma un iekārtu salūšanas risku apdrošināšanai: </w:t>
      </w:r>
    </w:p>
    <w:p w14:paraId="729AE25E" w14:textId="77777777" w:rsidR="00EE02BC" w:rsidRPr="00D04D7B" w:rsidRDefault="00EE02BC" w:rsidP="002F74B0">
      <w:pPr>
        <w:pStyle w:val="ListParagraph"/>
        <w:widowControl w:val="0"/>
        <w:numPr>
          <w:ilvl w:val="0"/>
          <w:numId w:val="2"/>
        </w:numPr>
        <w:ind w:left="426"/>
        <w:jc w:val="both"/>
      </w:pPr>
      <w:r w:rsidRPr="002F74B0">
        <w:rPr>
          <w:b/>
          <w:bCs/>
        </w:rPr>
        <w:t>objekta</w:t>
      </w:r>
      <w:r w:rsidRPr="00D04D7B">
        <w:t xml:space="preserve"> TEC</w:t>
      </w:r>
      <w:r>
        <w:t xml:space="preserve"> </w:t>
      </w:r>
      <w:r w:rsidRPr="00D04D7B">
        <w:t>2 pirmā energobloka ēku, būvju, iekārtu komplekss, kas ar 2009.gada 7.janvārī AS "Latvenergo" parakstīto "Rīgas TEC-2 rekonstrukcijas pieņemšanas sertifikātu" tika pieņemts ekspluatācijā</w:t>
      </w:r>
      <w:r w:rsidRPr="00D04D7B" w:rsidDel="00E962E1">
        <w:t xml:space="preserve"> </w:t>
      </w:r>
      <w:r w:rsidRPr="00D04D7B">
        <w:t>(turpmāk nolikuma tekstā "TEC 2-1");</w:t>
      </w:r>
    </w:p>
    <w:p w14:paraId="3AEB28A2" w14:textId="77777777" w:rsidR="00EE02BC" w:rsidRPr="00D04D7B" w:rsidRDefault="00EE02BC" w:rsidP="002F74B0">
      <w:pPr>
        <w:pStyle w:val="ListParagraph"/>
        <w:widowControl w:val="0"/>
        <w:numPr>
          <w:ilvl w:val="0"/>
          <w:numId w:val="2"/>
        </w:numPr>
        <w:ind w:left="426"/>
        <w:jc w:val="both"/>
      </w:pPr>
      <w:r w:rsidRPr="00D04D7B">
        <w:t xml:space="preserve">un </w:t>
      </w:r>
      <w:r w:rsidRPr="002F74B0">
        <w:rPr>
          <w:b/>
          <w:bCs/>
        </w:rPr>
        <w:t>objekta</w:t>
      </w:r>
      <w:r>
        <w:t xml:space="preserve"> </w:t>
      </w:r>
      <w:r w:rsidRPr="00D04D7B">
        <w:t>TEC</w:t>
      </w:r>
      <w:r>
        <w:t xml:space="preserve"> </w:t>
      </w:r>
      <w:r w:rsidRPr="00D04D7B">
        <w:t>2 otrā energobloka ēku, būvju, iekārtu komplekss, kas ar 2013.gada  23.septembra "</w:t>
      </w:r>
      <w:proofErr w:type="spellStart"/>
      <w:r w:rsidRPr="00D04D7B">
        <w:t>Taking</w:t>
      </w:r>
      <w:proofErr w:type="spellEnd"/>
      <w:r w:rsidRPr="00D04D7B">
        <w:t xml:space="preserve"> </w:t>
      </w:r>
      <w:proofErr w:type="spellStart"/>
      <w:r w:rsidRPr="00D04D7B">
        <w:t>over</w:t>
      </w:r>
      <w:proofErr w:type="spellEnd"/>
      <w:r w:rsidRPr="00D04D7B">
        <w:t xml:space="preserve"> </w:t>
      </w:r>
      <w:proofErr w:type="spellStart"/>
      <w:r w:rsidRPr="00D04D7B">
        <w:t>certificate</w:t>
      </w:r>
      <w:proofErr w:type="spellEnd"/>
      <w:r w:rsidRPr="00D04D7B">
        <w:t>" tika pieņemts ekspluatācijā (turpmāk nolikuma tekstā "TEC 2-2").</w:t>
      </w:r>
    </w:p>
    <w:p w14:paraId="1227608C" w14:textId="35391E77" w:rsidR="002F74B0" w:rsidRDefault="00EE02BC" w:rsidP="00A24A3C">
      <w:pPr>
        <w:pStyle w:val="ListParagraph"/>
        <w:widowControl w:val="0"/>
        <w:numPr>
          <w:ilvl w:val="1"/>
          <w:numId w:val="1"/>
        </w:numPr>
        <w:jc w:val="both"/>
      </w:pPr>
      <w:r w:rsidRPr="00A24A3C">
        <w:rPr>
          <w:b/>
          <w:bCs/>
          <w:color w:val="000000"/>
        </w:rPr>
        <w:t>Apdrošināšanas periods</w:t>
      </w:r>
      <w:r w:rsidR="002F74B0" w:rsidRPr="00A24A3C">
        <w:rPr>
          <w:b/>
          <w:bCs/>
          <w:color w:val="000000"/>
        </w:rPr>
        <w:t>:</w:t>
      </w:r>
      <w:r w:rsidRPr="00A24A3C">
        <w:rPr>
          <w:b/>
          <w:bCs/>
          <w:color w:val="000000"/>
        </w:rPr>
        <w:t xml:space="preserve"> </w:t>
      </w:r>
      <w:r w:rsidRPr="00A24A3C">
        <w:rPr>
          <w:color w:val="000000"/>
        </w:rPr>
        <w:t>1 (viens) kalendārais gads (01.04.</w:t>
      </w:r>
      <w:r w:rsidR="00E23C95" w:rsidRPr="00A24A3C">
        <w:rPr>
          <w:color w:val="000000"/>
        </w:rPr>
        <w:t>202</w:t>
      </w:r>
      <w:r w:rsidR="00E23C95">
        <w:rPr>
          <w:color w:val="000000"/>
        </w:rPr>
        <w:t>6</w:t>
      </w:r>
      <w:r w:rsidR="00E23C95" w:rsidRPr="00A24A3C">
        <w:rPr>
          <w:color w:val="000000"/>
        </w:rPr>
        <w:t xml:space="preserve"> </w:t>
      </w:r>
      <w:r w:rsidRPr="00A24A3C">
        <w:rPr>
          <w:color w:val="000000"/>
        </w:rPr>
        <w:t>– 31.03.</w:t>
      </w:r>
      <w:r w:rsidR="00E23C95" w:rsidRPr="00A24A3C">
        <w:rPr>
          <w:color w:val="000000"/>
        </w:rPr>
        <w:t>202</w:t>
      </w:r>
      <w:r w:rsidR="00E23C95">
        <w:rPr>
          <w:color w:val="000000"/>
        </w:rPr>
        <w:t>7</w:t>
      </w:r>
      <w:r w:rsidRPr="00A24A3C">
        <w:rPr>
          <w:color w:val="000000"/>
        </w:rPr>
        <w:t>)</w:t>
      </w:r>
    </w:p>
    <w:p w14:paraId="32015ACD" w14:textId="3059DBD5" w:rsidR="00EE02BC" w:rsidRPr="002F74B0" w:rsidRDefault="002F74B0" w:rsidP="002F74B0">
      <w:pPr>
        <w:pStyle w:val="ListParagraph"/>
        <w:widowControl w:val="0"/>
        <w:numPr>
          <w:ilvl w:val="1"/>
          <w:numId w:val="1"/>
        </w:numPr>
        <w:jc w:val="both"/>
      </w:pPr>
      <w:r w:rsidRPr="002F74B0">
        <w:rPr>
          <w:b/>
          <w:bCs/>
          <w:color w:val="000000"/>
        </w:rPr>
        <w:t>P</w:t>
      </w:r>
      <w:r w:rsidR="00EE02BC" w:rsidRPr="002F74B0">
        <w:rPr>
          <w:b/>
          <w:bCs/>
          <w:color w:val="000000"/>
        </w:rPr>
        <w:t>ašrisk</w:t>
      </w:r>
      <w:r w:rsidRPr="002F74B0">
        <w:rPr>
          <w:b/>
          <w:bCs/>
          <w:color w:val="000000"/>
        </w:rPr>
        <w:t>s</w:t>
      </w:r>
      <w:r w:rsidRPr="00A24A3C">
        <w:rPr>
          <w:b/>
          <w:bCs/>
          <w:color w:val="000000"/>
        </w:rPr>
        <w:t>:</w:t>
      </w:r>
      <w:r w:rsidRPr="002F74B0">
        <w:rPr>
          <w:color w:val="000000"/>
        </w:rPr>
        <w:t xml:space="preserve"> </w:t>
      </w:r>
      <w:r w:rsidR="00EE02BC" w:rsidRPr="002F74B0">
        <w:rPr>
          <w:color w:val="000000"/>
        </w:rPr>
        <w:t xml:space="preserve"> 1 000 000 EUR (viens miljons eiro) par gadījumu.</w:t>
      </w:r>
    </w:p>
    <w:p w14:paraId="60B57A29" w14:textId="0F9E7B63" w:rsidR="00A24A3C" w:rsidRPr="00430774" w:rsidRDefault="00A24A3C" w:rsidP="00A24A3C">
      <w:pPr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A24A3C">
        <w:rPr>
          <w:b/>
          <w:bCs/>
          <w:color w:val="000000"/>
        </w:rPr>
        <w:t>Apdrošinājuma summa:</w:t>
      </w:r>
      <w:r w:rsidRPr="00A24A3C">
        <w:rPr>
          <w:color w:val="000000"/>
        </w:rPr>
        <w:t xml:space="preserve"> </w:t>
      </w:r>
      <w:r w:rsidRPr="00430774">
        <w:t>Objekt</w:t>
      </w:r>
      <w:r>
        <w:t>u</w:t>
      </w:r>
      <w:r w:rsidRPr="00430774">
        <w:t xml:space="preserve"> TEC</w:t>
      </w:r>
      <w:r w:rsidR="00665DF2">
        <w:t xml:space="preserve"> </w:t>
      </w:r>
      <w:r>
        <w:t xml:space="preserve">2-1 un </w:t>
      </w:r>
      <w:r w:rsidRPr="00D04D7B">
        <w:t>TEC 2-2</w:t>
      </w:r>
      <w:r w:rsidRPr="00430774">
        <w:t xml:space="preserve"> apdrošinājuma summa atbilst apdrošināšanas polises atbildības limitam "pirmā zaudējuma" (</w:t>
      </w:r>
      <w:proofErr w:type="spellStart"/>
      <w:r w:rsidRPr="00430774">
        <w:t>angl</w:t>
      </w:r>
      <w:proofErr w:type="spellEnd"/>
      <w:r w:rsidRPr="00430774">
        <w:t xml:space="preserve">. – "first </w:t>
      </w:r>
      <w:proofErr w:type="spellStart"/>
      <w:r w:rsidRPr="00430774">
        <w:t>loss</w:t>
      </w:r>
      <w:proofErr w:type="spellEnd"/>
      <w:r w:rsidRPr="00430774">
        <w:t>") apdrošināšanā</w:t>
      </w:r>
      <w:r w:rsidR="006A53A6">
        <w:t xml:space="preserve">. </w:t>
      </w:r>
      <w:r w:rsidRPr="00430774">
        <w:t>Objekt</w:t>
      </w:r>
      <w:r w:rsidR="00AD025C">
        <w:t>u</w:t>
      </w:r>
      <w:r w:rsidRPr="00430774">
        <w:t xml:space="preserve"> </w:t>
      </w:r>
      <w:r w:rsidR="00AD025C" w:rsidRPr="00430774">
        <w:t>TEC</w:t>
      </w:r>
      <w:r w:rsidR="00AD025C">
        <w:t xml:space="preserve"> 2-1 un </w:t>
      </w:r>
      <w:r w:rsidR="00AD025C" w:rsidRPr="00D04D7B">
        <w:t>TEC 2-2</w:t>
      </w:r>
      <w:r w:rsidR="00AD025C">
        <w:t xml:space="preserve"> </w:t>
      </w:r>
      <w:r w:rsidRPr="00430774">
        <w:t>apdrošinājuma summa</w:t>
      </w:r>
      <w:r w:rsidR="00AD025C">
        <w:t xml:space="preserve"> </w:t>
      </w:r>
      <w:r w:rsidRPr="00430774">
        <w:t xml:space="preserve"> </w:t>
      </w:r>
      <w:r w:rsidR="006A53A6">
        <w:t xml:space="preserve">/limits </w:t>
      </w:r>
      <w:r w:rsidR="00665DF2">
        <w:rPr>
          <w:rFonts w:ascii="Tms Rmn" w:hAnsi="Tms Rmn" w:cs="Tms Rmn"/>
          <w:color w:val="000000"/>
        </w:rPr>
        <w:t>1</w:t>
      </w:r>
      <w:r w:rsidR="006A53A6">
        <w:rPr>
          <w:rFonts w:ascii="Tms Rmn" w:hAnsi="Tms Rmn" w:cs="Tms Rmn"/>
          <w:color w:val="000000"/>
        </w:rPr>
        <w:t>30</w:t>
      </w:r>
      <w:r w:rsidR="00AD025C" w:rsidRPr="00AD025C">
        <w:t> 000 000</w:t>
      </w:r>
      <w:r w:rsidRPr="00430774">
        <w:t xml:space="preserve"> EUR</w:t>
      </w:r>
      <w:r w:rsidR="006A53A6">
        <w:t>.</w:t>
      </w:r>
    </w:p>
    <w:p w14:paraId="26D857B6" w14:textId="77777777" w:rsidR="00EE02BC" w:rsidRPr="00D04D7B" w:rsidRDefault="00EE02BC" w:rsidP="00EE02BC">
      <w:pPr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D04D7B">
        <w:t>Pretendentu piedāvājumā ietvertajā finanšu piedāvājumā atbilstoši tiek norādīts apdrošināšanas prēmijas apmērs gadā katra</w:t>
      </w:r>
      <w:r>
        <w:t>m</w:t>
      </w:r>
      <w:r w:rsidRPr="00D04D7B">
        <w:t xml:space="preserve"> Objektam. </w:t>
      </w:r>
    </w:p>
    <w:p w14:paraId="0B991BA8" w14:textId="77777777" w:rsidR="00EE02BC" w:rsidRPr="00D04D7B" w:rsidRDefault="00EE02BC" w:rsidP="00EE02BC">
      <w:pPr>
        <w:widowControl w:val="0"/>
        <w:tabs>
          <w:tab w:val="left" w:pos="882"/>
        </w:tabs>
        <w:ind w:left="851"/>
      </w:pPr>
    </w:p>
    <w:p w14:paraId="0BC6BE1F" w14:textId="77777777" w:rsidR="00EE02BC" w:rsidRPr="00D04D7B" w:rsidRDefault="00EE02BC" w:rsidP="00EE02BC">
      <w:pPr>
        <w:widowControl w:val="0"/>
        <w:numPr>
          <w:ilvl w:val="0"/>
          <w:numId w:val="1"/>
        </w:numPr>
        <w:jc w:val="both"/>
        <w:rPr>
          <w:b/>
        </w:rPr>
      </w:pPr>
      <w:r w:rsidRPr="00D04D7B">
        <w:rPr>
          <w:b/>
        </w:rPr>
        <w:t>Īpašuma apdrošināšanas un iekārtu salūšanas risku apdrošināšanas seguma prasības</w:t>
      </w:r>
    </w:p>
    <w:p w14:paraId="627866AE" w14:textId="77777777" w:rsidR="00EE02BC" w:rsidRPr="00D04D7B" w:rsidRDefault="00EE02BC" w:rsidP="00EE02BC">
      <w:pPr>
        <w:widowControl w:val="0"/>
        <w:ind w:left="360"/>
        <w:rPr>
          <w:b/>
        </w:rPr>
      </w:pPr>
    </w:p>
    <w:p w14:paraId="4007FCA0" w14:textId="77777777" w:rsidR="00EE02BC" w:rsidRPr="00D04D7B" w:rsidRDefault="00EE02BC" w:rsidP="00EE02BC">
      <w:pPr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</w:pPr>
      <w:r>
        <w:t>Pretendenta</w:t>
      </w:r>
      <w:r w:rsidRPr="00D04D7B">
        <w:t xml:space="preserve"> piedāvājumā ietvertajam visu risku apdrošināšanas un iekārtu salūšanas risku apdrošināšanas segumam ir jāatbilst sekojošām prasībām: </w:t>
      </w:r>
    </w:p>
    <w:p w14:paraId="0D7350AF" w14:textId="77777777" w:rsidR="00EE02BC" w:rsidRPr="00D04D7B" w:rsidRDefault="00EE02BC" w:rsidP="00EE02BC">
      <w:pPr>
        <w:widowControl w:val="0"/>
        <w:numPr>
          <w:ilvl w:val="2"/>
          <w:numId w:val="1"/>
        </w:numPr>
        <w:ind w:left="1134" w:hanging="709"/>
        <w:jc w:val="both"/>
      </w:pPr>
      <w:r w:rsidRPr="00D04D7B">
        <w:t>Visu risku apdrošināšana paredz zaudējumu atlīdzību par pēkšņa un neparedzēta fiziska bojājuma, bojāejas vai zuduma iestāšanās gadījumiem, kā rezultātā jāveic apdrošinātā objekta remonts vai aizvietošana;</w:t>
      </w:r>
    </w:p>
    <w:p w14:paraId="1BEAF2CA" w14:textId="77777777" w:rsidR="00EE02BC" w:rsidRPr="00D04D7B" w:rsidRDefault="00EE02BC" w:rsidP="00EE02BC">
      <w:pPr>
        <w:widowControl w:val="0"/>
        <w:numPr>
          <w:ilvl w:val="2"/>
          <w:numId w:val="1"/>
        </w:numPr>
        <w:ind w:left="1134" w:hanging="709"/>
        <w:jc w:val="both"/>
      </w:pPr>
      <w:r w:rsidRPr="00D04D7B">
        <w:t>Iekārtu salūšanas risku apdrošināšana paredz zaudējumu atlīdzību par pēkšņ</w:t>
      </w:r>
      <w:r>
        <w:t>iem un neparedzētiem zaudējumiem vai bojājumiem, kas radušies</w:t>
      </w:r>
      <w:r w:rsidRPr="00D04D7B">
        <w:t>:</w:t>
      </w:r>
    </w:p>
    <w:p w14:paraId="1F70DF1D" w14:textId="77777777" w:rsidR="00EE02BC" w:rsidRPr="00074E73" w:rsidRDefault="00EE02BC" w:rsidP="00BC57AC">
      <w:pPr>
        <w:widowControl w:val="0"/>
        <w:numPr>
          <w:ilvl w:val="3"/>
          <w:numId w:val="5"/>
        </w:numPr>
        <w:tabs>
          <w:tab w:val="left" w:pos="1985"/>
        </w:tabs>
        <w:jc w:val="both"/>
      </w:pPr>
      <w:r>
        <w:t xml:space="preserve">Iekšēju </w:t>
      </w:r>
      <w:r w:rsidRPr="00074E73">
        <w:t>mehānisku bojājumu rezultātā;</w:t>
      </w:r>
    </w:p>
    <w:p w14:paraId="482C2A0F" w14:textId="77777777" w:rsidR="00EE02BC" w:rsidRPr="00074E73" w:rsidRDefault="00EE02BC" w:rsidP="00BC57AC">
      <w:pPr>
        <w:widowControl w:val="0"/>
        <w:numPr>
          <w:ilvl w:val="3"/>
          <w:numId w:val="5"/>
        </w:numPr>
        <w:tabs>
          <w:tab w:val="left" w:pos="1985"/>
        </w:tabs>
        <w:jc w:val="both"/>
      </w:pPr>
      <w:r w:rsidRPr="00074E73">
        <w:t>elektrisku bojājumu rezultātā;</w:t>
      </w:r>
    </w:p>
    <w:p w14:paraId="61566913" w14:textId="77777777" w:rsidR="00EE02BC" w:rsidRPr="00074E73" w:rsidRDefault="00EE02BC" w:rsidP="00BC57AC">
      <w:pPr>
        <w:widowControl w:val="0"/>
        <w:numPr>
          <w:ilvl w:val="3"/>
          <w:numId w:val="5"/>
        </w:numPr>
        <w:tabs>
          <w:tab w:val="left" w:pos="1985"/>
        </w:tabs>
        <w:jc w:val="both"/>
      </w:pPr>
      <w:r w:rsidRPr="00074E73">
        <w:t>centrbēdzes spēku iedarbība, turbīnas rotora nepieļaujama rotācijas ātruma pārsniegšana, kas rada zaudējumus/bojājumus (</w:t>
      </w:r>
      <w:proofErr w:type="spellStart"/>
      <w:r w:rsidRPr="00074E73">
        <w:t>angl</w:t>
      </w:r>
      <w:proofErr w:type="spellEnd"/>
      <w:r w:rsidRPr="00074E73">
        <w:t xml:space="preserve">. – </w:t>
      </w:r>
      <w:proofErr w:type="spellStart"/>
      <w:r w:rsidRPr="00074E73">
        <w:t>overspeed</w:t>
      </w:r>
      <w:proofErr w:type="spellEnd"/>
      <w:r w:rsidRPr="00074E73">
        <w:t>);</w:t>
      </w:r>
    </w:p>
    <w:p w14:paraId="4B09DFC2" w14:textId="77777777" w:rsidR="00EE02BC" w:rsidRPr="00074E73" w:rsidRDefault="00EE02BC" w:rsidP="00BC57AC">
      <w:pPr>
        <w:widowControl w:val="0"/>
        <w:numPr>
          <w:ilvl w:val="3"/>
          <w:numId w:val="5"/>
        </w:numPr>
        <w:tabs>
          <w:tab w:val="left" w:pos="1985"/>
        </w:tabs>
        <w:jc w:val="both"/>
      </w:pPr>
      <w:r w:rsidRPr="00074E73">
        <w:t>iekārtas aizsardzības sistēmas atteikums/nekorekta darbība;</w:t>
      </w:r>
    </w:p>
    <w:p w14:paraId="54D9F7DB" w14:textId="77777777" w:rsidR="00EE02BC" w:rsidRDefault="00EE02BC" w:rsidP="00BC57AC">
      <w:pPr>
        <w:widowControl w:val="0"/>
        <w:numPr>
          <w:ilvl w:val="3"/>
          <w:numId w:val="5"/>
        </w:numPr>
        <w:tabs>
          <w:tab w:val="left" w:pos="1985"/>
        </w:tabs>
        <w:jc w:val="both"/>
      </w:pPr>
      <w:r w:rsidRPr="00074E73">
        <w:t>saistībā ar citiem apstākļiem, kas nav norādīti Iekārtu salūšanas risku apdrošināšanas seguma noteikumu izņēmumos.</w:t>
      </w:r>
    </w:p>
    <w:p w14:paraId="01AFF8CD" w14:textId="226C57B3" w:rsidR="00DA7AB3" w:rsidRPr="00074E73" w:rsidRDefault="00DA7AB3" w:rsidP="00DA7AB3">
      <w:pPr>
        <w:pStyle w:val="ListParagraph"/>
        <w:widowControl w:val="0"/>
        <w:numPr>
          <w:ilvl w:val="2"/>
          <w:numId w:val="1"/>
        </w:numPr>
        <w:tabs>
          <w:tab w:val="left" w:pos="1985"/>
        </w:tabs>
        <w:ind w:left="1276" w:hanging="850"/>
        <w:jc w:val="both"/>
      </w:pPr>
      <w:r>
        <w:t xml:space="preserve">Apdrošināšanas segums paredz paplašinājumu par zaudējumiem, kuri radušies darbinieka (izņemot Apdrošinājuma ņēmēja vadības pārstāvju) kļūdas, nolaidības </w:t>
      </w:r>
      <w:proofErr w:type="spellStart"/>
      <w:r>
        <w:t>utml</w:t>
      </w:r>
      <w:proofErr w:type="spellEnd"/>
      <w:r>
        <w:t xml:space="preserve">. gadījumā. </w:t>
      </w:r>
    </w:p>
    <w:p w14:paraId="5CC472C0" w14:textId="77777777" w:rsidR="00BC57AC" w:rsidRPr="00BC57AC" w:rsidRDefault="00BC57AC" w:rsidP="00BE016E">
      <w:pPr>
        <w:pStyle w:val="ListParagraph"/>
        <w:numPr>
          <w:ilvl w:val="1"/>
          <w:numId w:val="1"/>
        </w:numPr>
        <w:jc w:val="both"/>
      </w:pPr>
      <w:r w:rsidRPr="00BC57AC">
        <w:t xml:space="preserve">Saskaņā ar Pretendenta piedāvājumu, apdrošināšanas atlīdzība bojājumu vai zaudējumu gadījumā tiek aprēķināta atbilstoši Pretendenta apdrošināšanas noteikumu nosacījumiem un: </w:t>
      </w:r>
    </w:p>
    <w:p w14:paraId="3E97448B" w14:textId="77777777" w:rsidR="00BC57AC" w:rsidRPr="00430774" w:rsidRDefault="00BC57AC" w:rsidP="00BC57AC">
      <w:pPr>
        <w:widowControl w:val="0"/>
        <w:numPr>
          <w:ilvl w:val="2"/>
          <w:numId w:val="1"/>
        </w:numPr>
        <w:tabs>
          <w:tab w:val="left" w:pos="1985"/>
        </w:tabs>
        <w:jc w:val="both"/>
      </w:pPr>
      <w:r w:rsidRPr="00430774">
        <w:t>Maksimālais zaudējumu atlīdzības limits apdrošināšanas gadījumā –noteiktais limits objektam;</w:t>
      </w:r>
    </w:p>
    <w:p w14:paraId="4C2D60EA" w14:textId="77777777" w:rsidR="00BC57AC" w:rsidRPr="00430774" w:rsidRDefault="00BC57AC" w:rsidP="00BC57AC">
      <w:pPr>
        <w:widowControl w:val="0"/>
        <w:numPr>
          <w:ilvl w:val="2"/>
          <w:numId w:val="1"/>
        </w:numPr>
        <w:tabs>
          <w:tab w:val="left" w:pos="1985"/>
        </w:tabs>
        <w:jc w:val="both"/>
      </w:pPr>
      <w:r w:rsidRPr="00430774">
        <w:t xml:space="preserve">Pamatlīdzekļa bojājuma vai daļēja zaudējuma gadījumā – remonta izdevumi pamatlīdzekļa atjaunošanas vērtībā. Atjaunošanas vērtība ir definēta – izdevumi, kas radušies veicot bojātā </w:t>
      </w:r>
      <w:r>
        <w:t xml:space="preserve">īpašuma </w:t>
      </w:r>
      <w:r w:rsidRPr="00430774">
        <w:t>atjaunošanas darbus.</w:t>
      </w:r>
    </w:p>
    <w:p w14:paraId="33CA2EE5" w14:textId="22BF379F" w:rsidR="00EE02BC" w:rsidRPr="00D04D7B" w:rsidRDefault="00EE02BC" w:rsidP="00EE02BC">
      <w:pPr>
        <w:widowControl w:val="0"/>
        <w:tabs>
          <w:tab w:val="left" w:pos="426"/>
        </w:tabs>
        <w:ind w:left="426" w:hanging="426"/>
        <w:jc w:val="both"/>
      </w:pPr>
      <w:r>
        <w:lastRenderedPageBreak/>
        <w:t xml:space="preserve">2.3. </w:t>
      </w:r>
      <w:r w:rsidRPr="00D04D7B">
        <w:t>Apdrošināšanas segums paredz papildus nosacījumu par apdrošinātāja atteikšanos no regresa tiesībām pret noslēgtaj</w:t>
      </w:r>
      <w:r w:rsidR="00F25962">
        <w:t>os Ilgtermiņa servisa/a</w:t>
      </w:r>
      <w:r w:rsidRPr="00D04D7B">
        <w:t>pkalpošanas līgum</w:t>
      </w:r>
      <w:r w:rsidR="00F25962">
        <w:t>os</w:t>
      </w:r>
      <w:r w:rsidRPr="00D04D7B">
        <w:t xml:space="preserve"> (</w:t>
      </w:r>
      <w:proofErr w:type="spellStart"/>
      <w:r w:rsidRPr="00D04D7B">
        <w:rPr>
          <w:i/>
        </w:rPr>
        <w:t>Service</w:t>
      </w:r>
      <w:proofErr w:type="spellEnd"/>
      <w:r w:rsidRPr="00D04D7B">
        <w:rPr>
          <w:i/>
        </w:rPr>
        <w:t xml:space="preserve"> </w:t>
      </w:r>
      <w:proofErr w:type="spellStart"/>
      <w:r w:rsidRPr="00D04D7B">
        <w:rPr>
          <w:i/>
        </w:rPr>
        <w:t>Maintenance</w:t>
      </w:r>
      <w:proofErr w:type="spellEnd"/>
      <w:r w:rsidRPr="00D04D7B">
        <w:rPr>
          <w:i/>
        </w:rPr>
        <w:t xml:space="preserve"> </w:t>
      </w:r>
      <w:proofErr w:type="spellStart"/>
      <w:r w:rsidRPr="00D04D7B">
        <w:rPr>
          <w:i/>
        </w:rPr>
        <w:t>Agreement</w:t>
      </w:r>
      <w:proofErr w:type="spellEnd"/>
      <w:r w:rsidRPr="00D04D7B">
        <w:t>) noteikto apkalpojošo kompāniju</w:t>
      </w:r>
      <w:r w:rsidR="00F25962">
        <w:t xml:space="preserve"> (kompānijām) un tās (to) saistītajām kompānijām</w:t>
      </w:r>
      <w:r w:rsidRPr="00D04D7B">
        <w:rPr>
          <w:i/>
          <w:iCs/>
          <w:lang w:eastAsia="lv-LV"/>
        </w:rPr>
        <w:t>.</w:t>
      </w:r>
      <w:r w:rsidRPr="00D04D7B">
        <w:t xml:space="preserve"> </w:t>
      </w:r>
    </w:p>
    <w:p w14:paraId="37DFC8C4" w14:textId="6263F5D6" w:rsidR="00EE02BC" w:rsidRPr="00E95184" w:rsidRDefault="00EE02BC" w:rsidP="00EE02BC">
      <w:pPr>
        <w:widowControl w:val="0"/>
        <w:tabs>
          <w:tab w:val="left" w:pos="426"/>
        </w:tabs>
        <w:jc w:val="both"/>
      </w:pPr>
      <w:r>
        <w:rPr>
          <w:lang w:eastAsia="lv-LV"/>
        </w:rPr>
        <w:t>2.</w:t>
      </w:r>
      <w:r w:rsidR="00F25962">
        <w:rPr>
          <w:lang w:eastAsia="lv-LV"/>
        </w:rPr>
        <w:t>4</w:t>
      </w:r>
      <w:r>
        <w:rPr>
          <w:lang w:eastAsia="lv-LV"/>
        </w:rPr>
        <w:t xml:space="preserve">. </w:t>
      </w:r>
      <w:r w:rsidRPr="00D755C7">
        <w:rPr>
          <w:lang w:eastAsia="lv-LV"/>
        </w:rPr>
        <w:t>Apdrošināšanas prēmijas samaksa – četros vienādos (ikkvartāla) maksājumos.</w:t>
      </w:r>
    </w:p>
    <w:p w14:paraId="1F25CF5D" w14:textId="77777777" w:rsidR="00EE02BC" w:rsidRPr="00D04D7B" w:rsidRDefault="00EE02BC" w:rsidP="00EE02BC">
      <w:pPr>
        <w:widowControl w:val="0"/>
        <w:tabs>
          <w:tab w:val="left" w:pos="426"/>
        </w:tabs>
        <w:ind w:left="1440"/>
        <w:jc w:val="both"/>
      </w:pPr>
    </w:p>
    <w:p w14:paraId="2668C095" w14:textId="77777777" w:rsidR="00B6163F" w:rsidRDefault="00B6163F"/>
    <w:sectPr w:rsidR="00B61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Times New Roman"/>
    <w:charset w:val="00"/>
    <w:family w:val="roman"/>
    <w:pitch w:val="variable"/>
    <w:sig w:usb0="800002AF" w:usb1="5000204A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1352"/>
    <w:multiLevelType w:val="multilevel"/>
    <w:tmpl w:val="5AA27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04438F6"/>
    <w:multiLevelType w:val="hybridMultilevel"/>
    <w:tmpl w:val="7A7EBDD6"/>
    <w:lvl w:ilvl="0" w:tplc="2B8E41FA">
      <w:start w:val="3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B14D25"/>
    <w:multiLevelType w:val="multilevel"/>
    <w:tmpl w:val="87F4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3FA4A6E"/>
    <w:multiLevelType w:val="hybridMultilevel"/>
    <w:tmpl w:val="4BA089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1EC9"/>
    <w:multiLevelType w:val="multilevel"/>
    <w:tmpl w:val="5AA27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21613326">
    <w:abstractNumId w:val="4"/>
  </w:num>
  <w:num w:numId="2" w16cid:durableId="1055588527">
    <w:abstractNumId w:val="1"/>
  </w:num>
  <w:num w:numId="3" w16cid:durableId="825249302">
    <w:abstractNumId w:val="3"/>
  </w:num>
  <w:num w:numId="4" w16cid:durableId="1864858685">
    <w:abstractNumId w:val="0"/>
  </w:num>
  <w:num w:numId="5" w16cid:durableId="128315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BC"/>
    <w:rsid w:val="001E793F"/>
    <w:rsid w:val="00246C20"/>
    <w:rsid w:val="002F74B0"/>
    <w:rsid w:val="00337A13"/>
    <w:rsid w:val="00665DF2"/>
    <w:rsid w:val="006764BB"/>
    <w:rsid w:val="006A53A6"/>
    <w:rsid w:val="00783490"/>
    <w:rsid w:val="0083572B"/>
    <w:rsid w:val="009537EF"/>
    <w:rsid w:val="00A24A3C"/>
    <w:rsid w:val="00AD025C"/>
    <w:rsid w:val="00B6163F"/>
    <w:rsid w:val="00BC57AC"/>
    <w:rsid w:val="00BE016E"/>
    <w:rsid w:val="00CF4758"/>
    <w:rsid w:val="00D46E05"/>
    <w:rsid w:val="00DA7AB3"/>
    <w:rsid w:val="00E23C95"/>
    <w:rsid w:val="00EE02BC"/>
    <w:rsid w:val="00F25962"/>
    <w:rsid w:val="00F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8B808"/>
  <w15:chartTrackingRefBased/>
  <w15:docId w15:val="{BCA92A12-E7AC-4A88-8D21-0150224C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BC"/>
    <w:pPr>
      <w:spacing w:after="0" w:line="240" w:lineRule="auto"/>
    </w:pPr>
    <w:rPr>
      <w:rFonts w:eastAsia="Times New Roman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2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2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2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2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2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2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2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2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2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2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2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2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2BC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Syle 1,H&amp;P List Paragraph,2,Strip,Saraksta rindkopa1,List Paragraph1,List Paragraph11,Numbered Para 1,Dot pt,No Spacing1,List Paragraph Char Char Char,Indicator Text,Bullet 1,Bullet Points,MAIN CONTENT,Bullet E"/>
    <w:basedOn w:val="Normal"/>
    <w:link w:val="ListParagraphChar"/>
    <w:uiPriority w:val="34"/>
    <w:qFormat/>
    <w:rsid w:val="00EE0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2BC"/>
    <w:rPr>
      <w:b/>
      <w:bCs/>
      <w:smallCaps/>
      <w:color w:val="0F4761" w:themeColor="accent1" w:themeShade="BF"/>
      <w:spacing w:val="5"/>
    </w:rPr>
  </w:style>
  <w:style w:type="character" w:customStyle="1" w:styleId="TitleChar2">
    <w:name w:val="Title Char2"/>
    <w:locked/>
    <w:rsid w:val="00EE02BC"/>
    <w:rPr>
      <w:rFonts w:ascii="Dutch TL" w:hAnsi="Dutch TL"/>
      <w:b/>
      <w:sz w:val="48"/>
      <w:lang w:val="en-GB" w:eastAsia="en-US" w:bidi="ar-SA"/>
    </w:rPr>
  </w:style>
  <w:style w:type="character" w:customStyle="1" w:styleId="ListParagraphChar">
    <w:name w:val="List Paragraph Char"/>
    <w:aliases w:val="Normal bullet 2 Char,Bullet list Char,Syle 1 Char,H&amp;P List Paragraph Char,2 Char,Strip Char,Saraksta rindkopa1 Char,List Paragraph1 Char,List Paragraph11 Char,Numbered Para 1 Char,Dot pt Char,No Spacing1 Char,Indicator Text Char"/>
    <w:link w:val="ListParagraph"/>
    <w:uiPriority w:val="34"/>
    <w:qFormat/>
    <w:locked/>
    <w:rsid w:val="00EE02BC"/>
  </w:style>
  <w:style w:type="paragraph" w:styleId="Revision">
    <w:name w:val="Revision"/>
    <w:hidden/>
    <w:uiPriority w:val="99"/>
    <w:semiHidden/>
    <w:rsid w:val="00E23C95"/>
    <w:pPr>
      <w:spacing w:after="0" w:line="240" w:lineRule="auto"/>
    </w:pPr>
    <w:rPr>
      <w:rFonts w:eastAsia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Štāls</dc:creator>
  <cp:keywords/>
  <dc:description/>
  <cp:lastModifiedBy>Andris Graudiņš</cp:lastModifiedBy>
  <cp:revision>2</cp:revision>
  <dcterms:created xsi:type="dcterms:W3CDTF">2025-11-10T14:03:00Z</dcterms:created>
  <dcterms:modified xsi:type="dcterms:W3CDTF">2025-11-10T14:03:00Z</dcterms:modified>
</cp:coreProperties>
</file>